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341F04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341F04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proofErr w:type="spellStart"/>
            <w:r w:rsidR="00341F04"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341F04">
              <w:rPr>
                <w:rFonts w:ascii="Times New Roman" w:hAnsi="Times New Roman"/>
                <w:sz w:val="18"/>
                <w:szCs w:val="18"/>
              </w:rPr>
              <w:t>77-67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341F04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044C46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044C46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44C46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94D" w:rsidRPr="000D409C" w:rsidTr="0073103F">
        <w:trPr>
          <w:trHeight w:val="1035"/>
        </w:trPr>
        <w:tc>
          <w:tcPr>
            <w:tcW w:w="673" w:type="dxa"/>
          </w:tcPr>
          <w:p w:rsidR="0086494D" w:rsidRPr="000D409C" w:rsidRDefault="0086494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86494D" w:rsidRPr="000D409C" w:rsidRDefault="0086494D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6494D" w:rsidRDefault="0086494D" w:rsidP="008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материалов, включая проведение экспертиз, получение заключ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ний, согласований, актуализация документов для комплексного экологическ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го разрешения (д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лее по тексту КЭР), оформление заявки на получение КЭР, сопровождение получения КЭР от Уральского межреги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нального управления </w:t>
            </w:r>
            <w:proofErr w:type="spellStart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Росприроднадзора</w:t>
            </w:r>
            <w:proofErr w:type="spellEnd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, в соответствии с требованиями законодательства, дейс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вующего на момент разработки.</w:t>
            </w:r>
          </w:p>
          <w:p w:rsidR="0086494D" w:rsidRPr="0086494D" w:rsidRDefault="0086494D" w:rsidP="008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6494D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86494D" w:rsidRPr="0086494D" w:rsidRDefault="0086494D" w:rsidP="0086494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и анализ исходных сведений для разработки мат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риалов обоснования КЭР. </w:t>
            </w:r>
          </w:p>
          <w:p w:rsidR="0086494D" w:rsidRPr="0086494D" w:rsidRDefault="0086494D" w:rsidP="0086494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1. Проведение анализа полученных документов для разр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материалов КЭР на предмет полноты и корректн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сти, содержащихся в них сведений и, в случае необходимости, внесение обоснованных предложений по их коррект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ровке и дополнению.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2. Проведение инвентаризации источников выбросов/ сбросов вредных (загрязняющих веществ), инструментальных измерений (при недостатке исходной информации) промышленных выбросов/ сбросов на объекте. Составление отчета инвентаризации выбросов/ сбросов загрязняющих веществ (по необходимости).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3. Проведение инвентаризации отходов производства и потребления, источников образования отходов, мест накопления отходов. Составление отчета инвентаризации отходов производства и потребления (по необходимости).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4. Проведение необходимых лабораторных замеров.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5. Разработка программ повышения экологической эффективности.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tabs>
                <w:tab w:val="left" w:pos="325"/>
                <w:tab w:val="left" w:pos="608"/>
              </w:tabs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6.Разработка (актуализация) программы производственного экологического контроля (по необходимости).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 xml:space="preserve">7. Разработка и утверждение Программы создания системы автоматического контроля (по необходимости). 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8. Оформление и согласование с Заказчиком заявки на получение КЭР. Осуществление подачи заявки на получение КЭР с материалами обоснования КЭР</w:t>
            </w:r>
          </w:p>
          <w:p w:rsidR="0086494D" w:rsidRPr="0086494D" w:rsidRDefault="0086494D" w:rsidP="0086494D">
            <w:pPr>
              <w:pStyle w:val="a9"/>
              <w:shd w:val="clear" w:color="auto" w:fill="FFFFFF"/>
              <w:autoSpaceDN w:val="0"/>
              <w:adjustRightInd w:val="0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86494D">
              <w:rPr>
                <w:sz w:val="18"/>
                <w:szCs w:val="18"/>
                <w:lang w:val="ru-RU" w:eastAsia="ru-RU"/>
              </w:rPr>
              <w:t>9. Обеспечение технического сопровождения при подаче Заказчиком заявки на получение КЭР в уполномоченном Правительством Российской Федерации федеральном органе исполнительной власти. Обеспечение технического сопровождения разработанных материалов обоснования КЭР при проведении всех ведомственных экспертиз и согласований до получения положительных заключений, своевременное устранение замечаний и внесение в нее соответствующих корректировок до получения КЭР.</w:t>
            </w:r>
          </w:p>
          <w:p w:rsidR="0086494D" w:rsidRPr="0086494D" w:rsidRDefault="0086494D" w:rsidP="008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10. Предоставление Заказчику оригиналов КЭР, полож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заключений всех ведомственных экспертиз и согласований, отчетов инвентаризаций, ра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работанной Д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кументации на бумажном и электронном носителе, в том числе в не редактируемом формате «</w:t>
            </w:r>
            <w:proofErr w:type="spellStart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», и в редакт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руемом формате (для текста </w:t>
            </w:r>
            <w:proofErr w:type="spellStart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MicrosoftWord</w:t>
            </w:r>
            <w:proofErr w:type="spellEnd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Excel) «</w:t>
            </w:r>
            <w:proofErr w:type="spellStart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341F04">
              <w:rPr>
                <w:rFonts w:ascii="Times New Roman" w:hAnsi="Times New Roman"/>
                <w:sz w:val="18"/>
                <w:szCs w:val="18"/>
              </w:rPr>
              <w:t>, точки отбора проб на границе санита</w:t>
            </w:r>
            <w:r w:rsidR="00341F04">
              <w:rPr>
                <w:rFonts w:ascii="Times New Roman" w:hAnsi="Times New Roman"/>
                <w:sz w:val="18"/>
                <w:szCs w:val="18"/>
              </w:rPr>
              <w:t>р</w:t>
            </w:r>
            <w:r w:rsidR="00341F04">
              <w:rPr>
                <w:rFonts w:ascii="Times New Roman" w:hAnsi="Times New Roman"/>
                <w:sz w:val="18"/>
                <w:szCs w:val="18"/>
              </w:rPr>
              <w:t>но-защитной зоны предприятия.</w:t>
            </w:r>
          </w:p>
          <w:p w:rsidR="0086494D" w:rsidRPr="000D409C" w:rsidRDefault="0086494D" w:rsidP="00341F0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олучение КЭР до 31.12.2024г.</w:t>
            </w:r>
          </w:p>
        </w:tc>
      </w:tr>
      <w:tr w:rsidR="0086494D" w:rsidRPr="000D409C" w:rsidTr="00C26A20">
        <w:trPr>
          <w:trHeight w:val="193"/>
        </w:trPr>
        <w:tc>
          <w:tcPr>
            <w:tcW w:w="673" w:type="dxa"/>
          </w:tcPr>
          <w:p w:rsidR="0086494D" w:rsidRPr="000D409C" w:rsidRDefault="0086494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6494D" w:rsidRPr="000D409C" w:rsidRDefault="0086494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86494D" w:rsidRPr="0086494D" w:rsidRDefault="0086494D" w:rsidP="008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494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производится по факту выполненных работ (после предоставления протоколов и акта выполненных работ)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94D" w:rsidRPr="000D409C" w:rsidTr="00C26A20">
        <w:trPr>
          <w:trHeight w:val="193"/>
        </w:trPr>
        <w:tc>
          <w:tcPr>
            <w:tcW w:w="673" w:type="dxa"/>
          </w:tcPr>
          <w:p w:rsidR="0086494D" w:rsidRPr="000D409C" w:rsidRDefault="0086494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6494D" w:rsidRPr="000D409C" w:rsidRDefault="0086494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ставления протокола.</w:t>
            </w:r>
          </w:p>
        </w:tc>
        <w:tc>
          <w:tcPr>
            <w:tcW w:w="6311" w:type="dxa"/>
          </w:tcPr>
          <w:p w:rsidR="0086494D" w:rsidRPr="006E2DE1" w:rsidRDefault="0086494D" w:rsidP="006F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приема предложений-с 08.00 часов 26 мая 2023г.</w:t>
            </w:r>
          </w:p>
          <w:p w:rsidR="0086494D" w:rsidRPr="006E2DE1" w:rsidRDefault="0086494D" w:rsidP="006F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05 июня 2023г.</w:t>
            </w:r>
          </w:p>
          <w:p w:rsidR="0086494D" w:rsidRPr="006E2DE1" w:rsidRDefault="0086494D" w:rsidP="006F4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Дата обобщения предложений-06 июня 2023г.</w:t>
            </w:r>
          </w:p>
          <w:p w:rsidR="0086494D" w:rsidRPr="006E2DE1" w:rsidRDefault="0086494D" w:rsidP="006F4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E2DE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E2DE1">
              <w:rPr>
                <w:rFonts w:ascii="Times New Roman" w:hAnsi="Times New Roman"/>
                <w:sz w:val="18"/>
                <w:szCs w:val="18"/>
              </w:rPr>
              <w:t xml:space="preserve"> итогов-07 июня 2023г.</w:t>
            </w:r>
          </w:p>
          <w:p w:rsidR="0086494D" w:rsidRPr="006E2DE1" w:rsidRDefault="0086494D" w:rsidP="006F4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Дата подведения </w:t>
            </w:r>
            <w:proofErr w:type="gramStart"/>
            <w:r w:rsidRPr="006E2DE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E2DE1">
              <w:rPr>
                <w:rFonts w:ascii="Times New Roman" w:hAnsi="Times New Roman"/>
                <w:sz w:val="18"/>
                <w:szCs w:val="18"/>
              </w:rPr>
              <w:t xml:space="preserve"> итогов-14 июня 2023г.</w:t>
            </w:r>
          </w:p>
          <w:p w:rsidR="0086494D" w:rsidRPr="006E2DE1" w:rsidRDefault="0086494D" w:rsidP="006F4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Дата составления протокола-14 июня 2023г.</w:t>
            </w:r>
          </w:p>
        </w:tc>
      </w:tr>
      <w:tr w:rsidR="0086494D" w:rsidRPr="000D409C" w:rsidTr="00C26A20">
        <w:trPr>
          <w:trHeight w:val="679"/>
        </w:trPr>
        <w:tc>
          <w:tcPr>
            <w:tcW w:w="673" w:type="dxa"/>
          </w:tcPr>
          <w:p w:rsidR="0086494D" w:rsidRPr="000D409C" w:rsidRDefault="0086494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6494D" w:rsidRPr="000D409C" w:rsidRDefault="0086494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86494D" w:rsidRPr="006E2DE1" w:rsidRDefault="0086494D" w:rsidP="006F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E2DE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6494D" w:rsidRPr="006E2DE1" w:rsidRDefault="0086494D" w:rsidP="006F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DE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>п</w:t>
            </w:r>
            <w:r w:rsidRPr="006E2DE1">
              <w:rPr>
                <w:rFonts w:ascii="Times New Roman" w:hAnsi="Times New Roman"/>
                <w:sz w:val="18"/>
                <w:szCs w:val="18"/>
              </w:rPr>
              <w:t>ки 14 июня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44C46"/>
    <w:rsid w:val="00086644"/>
    <w:rsid w:val="000A6B05"/>
    <w:rsid w:val="000C727F"/>
    <w:rsid w:val="000D409C"/>
    <w:rsid w:val="000F69D8"/>
    <w:rsid w:val="00196179"/>
    <w:rsid w:val="001B12B7"/>
    <w:rsid w:val="001C149D"/>
    <w:rsid w:val="00341F04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6494D"/>
    <w:rsid w:val="00884FB6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F01A73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aliases w:val="Мой Список,Bullet_IRAO,List Paragraph"/>
    <w:basedOn w:val="a"/>
    <w:link w:val="aa"/>
    <w:uiPriority w:val="34"/>
    <w:qFormat/>
    <w:rsid w:val="0086494D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Абзац списка Знак"/>
    <w:aliases w:val="Мой Список Знак,Bullet_IRAO Знак,List Paragraph Знак"/>
    <w:link w:val="a9"/>
    <w:uiPriority w:val="34"/>
    <w:rsid w:val="008649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38</cp:revision>
  <cp:lastPrinted>2023-05-25T08:14:00Z</cp:lastPrinted>
  <dcterms:created xsi:type="dcterms:W3CDTF">2017-07-31T06:19:00Z</dcterms:created>
  <dcterms:modified xsi:type="dcterms:W3CDTF">2023-05-25T08:14:00Z</dcterms:modified>
</cp:coreProperties>
</file>