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01" w:rsidRPr="00AD1601" w:rsidRDefault="00804356" w:rsidP="00AD160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№ 1 к информационной карте лот № 66</w:t>
      </w:r>
    </w:p>
    <w:p w:rsidR="00AD1601" w:rsidRPr="00AD1601" w:rsidRDefault="00AD1601" w:rsidP="00AD160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D1601" w:rsidRPr="00AD1601" w:rsidRDefault="00804356" w:rsidP="0080435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AD1601" w:rsidRPr="00AD1601">
        <w:rPr>
          <w:rFonts w:ascii="Times New Roman" w:hAnsi="Times New Roman" w:cs="Times New Roman"/>
          <w:b/>
          <w:sz w:val="20"/>
          <w:szCs w:val="20"/>
        </w:rPr>
        <w:t xml:space="preserve">. Цель </w:t>
      </w:r>
      <w:proofErr w:type="spellStart"/>
      <w:r w:rsidR="00AD1601" w:rsidRPr="00AD1601">
        <w:rPr>
          <w:rFonts w:ascii="Times New Roman" w:hAnsi="Times New Roman" w:cs="Times New Roman"/>
          <w:b/>
          <w:sz w:val="20"/>
          <w:szCs w:val="20"/>
        </w:rPr>
        <w:t>предпроектного</w:t>
      </w:r>
      <w:proofErr w:type="spellEnd"/>
      <w:r w:rsidR="00AD1601" w:rsidRPr="00AD1601">
        <w:rPr>
          <w:rFonts w:ascii="Times New Roman" w:hAnsi="Times New Roman" w:cs="Times New Roman"/>
          <w:b/>
          <w:sz w:val="20"/>
          <w:szCs w:val="20"/>
        </w:rPr>
        <w:t xml:space="preserve"> обследования</w:t>
      </w:r>
    </w:p>
    <w:p w:rsidR="00AD1601" w:rsidRPr="00AD1601" w:rsidRDefault="00AD1601" w:rsidP="00AD1601">
      <w:pPr>
        <w:spacing w:after="0" w:line="240" w:lineRule="auto"/>
        <w:ind w:right="-119"/>
        <w:jc w:val="both"/>
        <w:rPr>
          <w:rFonts w:ascii="Times New Roman" w:hAnsi="Times New Roman" w:cs="Times New Roman"/>
          <w:sz w:val="20"/>
          <w:szCs w:val="20"/>
        </w:rPr>
      </w:pPr>
      <w:r w:rsidRPr="00AD1601">
        <w:rPr>
          <w:rFonts w:ascii="Times New Roman" w:hAnsi="Times New Roman" w:cs="Times New Roman"/>
          <w:sz w:val="20"/>
          <w:szCs w:val="20"/>
        </w:rPr>
        <w:t xml:space="preserve">Целью </w:t>
      </w:r>
      <w:proofErr w:type="spellStart"/>
      <w:r w:rsidRPr="00AD1601">
        <w:rPr>
          <w:rFonts w:ascii="Times New Roman" w:hAnsi="Times New Roman" w:cs="Times New Roman"/>
          <w:sz w:val="20"/>
          <w:szCs w:val="20"/>
        </w:rPr>
        <w:t>предпроектного</w:t>
      </w:r>
      <w:proofErr w:type="spellEnd"/>
      <w:r w:rsidRPr="00AD1601">
        <w:rPr>
          <w:rFonts w:ascii="Times New Roman" w:hAnsi="Times New Roman" w:cs="Times New Roman"/>
          <w:sz w:val="20"/>
          <w:szCs w:val="20"/>
        </w:rPr>
        <w:t xml:space="preserve"> обследования является определение мест установки оборудования программно-технического ко</w:t>
      </w:r>
      <w:r w:rsidRPr="00AD1601">
        <w:rPr>
          <w:rFonts w:ascii="Times New Roman" w:hAnsi="Times New Roman" w:cs="Times New Roman"/>
          <w:sz w:val="20"/>
          <w:szCs w:val="20"/>
        </w:rPr>
        <w:t>м</w:t>
      </w:r>
      <w:r w:rsidRPr="00AD1601">
        <w:rPr>
          <w:rFonts w:ascii="Times New Roman" w:hAnsi="Times New Roman" w:cs="Times New Roman"/>
          <w:sz w:val="20"/>
          <w:szCs w:val="20"/>
        </w:rPr>
        <w:t xml:space="preserve">плекса (шкафы связи, серверный шкаф, приборы учета). Определение возможности применения в проектируемой системе имеющихся приборов и систем,  а также соответствия этих систем нормативным документам и другим требованиям. Оформление заключения  </w:t>
      </w:r>
      <w:proofErr w:type="spellStart"/>
      <w:r w:rsidRPr="00AD1601">
        <w:rPr>
          <w:rFonts w:ascii="Times New Roman" w:hAnsi="Times New Roman" w:cs="Times New Roman"/>
          <w:sz w:val="20"/>
          <w:szCs w:val="20"/>
        </w:rPr>
        <w:t>предпроектного</w:t>
      </w:r>
      <w:proofErr w:type="spellEnd"/>
      <w:r w:rsidRPr="00AD1601">
        <w:rPr>
          <w:rFonts w:ascii="Times New Roman" w:hAnsi="Times New Roman" w:cs="Times New Roman"/>
          <w:sz w:val="20"/>
          <w:szCs w:val="20"/>
        </w:rPr>
        <w:t xml:space="preserve">  обследования объектов Заказчика.</w:t>
      </w:r>
    </w:p>
    <w:p w:rsidR="00AD1601" w:rsidRPr="00AD1601" w:rsidRDefault="00AD1601" w:rsidP="00AD1601">
      <w:pPr>
        <w:spacing w:after="0" w:line="240" w:lineRule="auto"/>
        <w:ind w:right="-119"/>
        <w:jc w:val="both"/>
        <w:rPr>
          <w:rFonts w:ascii="Times New Roman" w:hAnsi="Times New Roman" w:cs="Times New Roman"/>
          <w:sz w:val="20"/>
          <w:szCs w:val="20"/>
        </w:rPr>
      </w:pPr>
    </w:p>
    <w:p w:rsidR="00AD1601" w:rsidRPr="00AD1601" w:rsidRDefault="00804356" w:rsidP="00804356">
      <w:pPr>
        <w:spacing w:after="0" w:line="240" w:lineRule="auto"/>
        <w:ind w:right="-11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AD1601" w:rsidRPr="00AD1601">
        <w:rPr>
          <w:rFonts w:ascii="Times New Roman" w:hAnsi="Times New Roman" w:cs="Times New Roman"/>
          <w:b/>
          <w:sz w:val="20"/>
          <w:szCs w:val="20"/>
        </w:rPr>
        <w:t>. Перечень исходных документов, предоставляемых заказчиком</w:t>
      </w:r>
    </w:p>
    <w:p w:rsidR="00AD1601" w:rsidRPr="00AD1601" w:rsidRDefault="00AD1601" w:rsidP="00AD1601">
      <w:pPr>
        <w:spacing w:after="0" w:line="240" w:lineRule="auto"/>
        <w:ind w:right="-11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AD1601">
        <w:rPr>
          <w:rFonts w:ascii="Times New Roman" w:hAnsi="Times New Roman" w:cs="Times New Roman"/>
          <w:sz w:val="20"/>
          <w:szCs w:val="20"/>
        </w:rPr>
        <w:t>-</w:t>
      </w:r>
      <w:r w:rsidRPr="00AD1601">
        <w:rPr>
          <w:rFonts w:ascii="Times New Roman" w:hAnsi="Times New Roman" w:cs="Times New Roman"/>
          <w:sz w:val="20"/>
          <w:szCs w:val="20"/>
          <w:lang w:eastAsia="en-US"/>
        </w:rPr>
        <w:t xml:space="preserve"> утвержденный перечень точек учета;</w:t>
      </w:r>
    </w:p>
    <w:p w:rsidR="00AD1601" w:rsidRPr="00AD1601" w:rsidRDefault="00AD1601" w:rsidP="00AD1601">
      <w:pPr>
        <w:spacing w:after="0" w:line="240" w:lineRule="auto"/>
        <w:ind w:right="-11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AD1601">
        <w:rPr>
          <w:rFonts w:ascii="Times New Roman" w:hAnsi="Times New Roman" w:cs="Times New Roman"/>
          <w:sz w:val="20"/>
          <w:szCs w:val="20"/>
          <w:lang w:eastAsia="en-US"/>
        </w:rPr>
        <w:t>- утвержденная однолинейная схема учета (с обозначением точек учета);</w:t>
      </w:r>
    </w:p>
    <w:p w:rsidR="00AD1601" w:rsidRPr="00AD1601" w:rsidRDefault="00AD1601" w:rsidP="00AD1601">
      <w:pPr>
        <w:spacing w:after="0" w:line="240" w:lineRule="auto"/>
        <w:ind w:right="-11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AD1601">
        <w:rPr>
          <w:rFonts w:ascii="Times New Roman" w:hAnsi="Times New Roman" w:cs="Times New Roman"/>
          <w:sz w:val="20"/>
          <w:szCs w:val="20"/>
          <w:lang w:eastAsia="en-US"/>
        </w:rPr>
        <w:t>- генплан предприятия;</w:t>
      </w:r>
    </w:p>
    <w:p w:rsidR="00AD1601" w:rsidRPr="00AD1601" w:rsidRDefault="00AD1601" w:rsidP="00AD1601">
      <w:pPr>
        <w:spacing w:after="0" w:line="240" w:lineRule="auto"/>
        <w:ind w:right="-11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AD1601">
        <w:rPr>
          <w:rFonts w:ascii="Times New Roman" w:hAnsi="Times New Roman" w:cs="Times New Roman"/>
          <w:sz w:val="20"/>
          <w:szCs w:val="20"/>
          <w:lang w:eastAsia="en-US"/>
        </w:rPr>
        <w:t>- план прокладки кабелей ВОЛС с указанием технических характеристик;</w:t>
      </w:r>
    </w:p>
    <w:p w:rsidR="00AD1601" w:rsidRPr="00AD1601" w:rsidRDefault="00AD1601" w:rsidP="00AD1601">
      <w:pPr>
        <w:spacing w:after="0" w:line="240" w:lineRule="auto"/>
        <w:ind w:right="-11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D1601" w:rsidRPr="00AD1601" w:rsidRDefault="00804356" w:rsidP="00804356">
      <w:pPr>
        <w:spacing w:after="0" w:line="240" w:lineRule="auto"/>
        <w:ind w:right="-11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3.Содержание о</w:t>
      </w:r>
      <w:r w:rsidR="00AD1601" w:rsidRPr="00AD1601">
        <w:rPr>
          <w:rFonts w:ascii="Times New Roman" w:hAnsi="Times New Roman" w:cs="Times New Roman"/>
          <w:b/>
          <w:sz w:val="20"/>
          <w:szCs w:val="20"/>
        </w:rPr>
        <w:t xml:space="preserve">тчета о </w:t>
      </w:r>
      <w:proofErr w:type="spellStart"/>
      <w:r w:rsidR="00AD1601" w:rsidRPr="00AD1601">
        <w:rPr>
          <w:rFonts w:ascii="Times New Roman" w:hAnsi="Times New Roman" w:cs="Times New Roman"/>
          <w:b/>
          <w:sz w:val="20"/>
          <w:szCs w:val="20"/>
        </w:rPr>
        <w:t>предпроектном</w:t>
      </w:r>
      <w:proofErr w:type="spellEnd"/>
      <w:r w:rsidR="00AD1601" w:rsidRPr="00AD1601">
        <w:rPr>
          <w:rFonts w:ascii="Times New Roman" w:hAnsi="Times New Roman" w:cs="Times New Roman"/>
          <w:b/>
          <w:sz w:val="20"/>
          <w:szCs w:val="20"/>
        </w:rPr>
        <w:t xml:space="preserve"> обследовании.</w:t>
      </w:r>
    </w:p>
    <w:p w:rsidR="00AD1601" w:rsidRPr="00AD1601" w:rsidRDefault="00AD1601" w:rsidP="00AD1601">
      <w:pPr>
        <w:spacing w:after="0" w:line="240" w:lineRule="auto"/>
        <w:ind w:right="-11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AD1601">
        <w:rPr>
          <w:rFonts w:ascii="Times New Roman" w:hAnsi="Times New Roman" w:cs="Times New Roman"/>
          <w:sz w:val="20"/>
          <w:szCs w:val="20"/>
          <w:lang w:eastAsia="en-US"/>
        </w:rPr>
        <w:t xml:space="preserve">Отчет о </w:t>
      </w:r>
      <w:proofErr w:type="spellStart"/>
      <w:r w:rsidRPr="00AD1601">
        <w:rPr>
          <w:rFonts w:ascii="Times New Roman" w:hAnsi="Times New Roman" w:cs="Times New Roman"/>
          <w:sz w:val="20"/>
          <w:szCs w:val="20"/>
          <w:lang w:eastAsia="en-US"/>
        </w:rPr>
        <w:t>предпроектном</w:t>
      </w:r>
      <w:proofErr w:type="spellEnd"/>
      <w:r w:rsidRPr="00AD1601">
        <w:rPr>
          <w:rFonts w:ascii="Times New Roman" w:hAnsi="Times New Roman" w:cs="Times New Roman"/>
          <w:sz w:val="20"/>
          <w:szCs w:val="20"/>
          <w:lang w:eastAsia="en-US"/>
        </w:rPr>
        <w:t xml:space="preserve"> обследовании должен содержать все исходные данные, позволяющие осуществить проектиров</w:t>
      </w:r>
      <w:r w:rsidRPr="00AD1601">
        <w:rPr>
          <w:rFonts w:ascii="Times New Roman" w:hAnsi="Times New Roman" w:cs="Times New Roman"/>
          <w:sz w:val="20"/>
          <w:szCs w:val="20"/>
          <w:lang w:eastAsia="en-US"/>
        </w:rPr>
        <w:t>а</w:t>
      </w:r>
      <w:r w:rsidRPr="00AD1601">
        <w:rPr>
          <w:rFonts w:ascii="Times New Roman" w:hAnsi="Times New Roman" w:cs="Times New Roman"/>
          <w:sz w:val="20"/>
          <w:szCs w:val="20"/>
          <w:lang w:eastAsia="en-US"/>
        </w:rPr>
        <w:t xml:space="preserve">ние систем АИИСКУЭ, АСТУЭ в полном объеме и отвечать требованиям, приведенным в п.5. </w:t>
      </w:r>
    </w:p>
    <w:p w:rsidR="00AD1601" w:rsidRPr="00AD1601" w:rsidRDefault="00AD1601" w:rsidP="00AD1601">
      <w:pPr>
        <w:spacing w:after="0" w:line="240" w:lineRule="auto"/>
        <w:ind w:right="-11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AD1601">
        <w:rPr>
          <w:rFonts w:ascii="Times New Roman" w:hAnsi="Times New Roman" w:cs="Times New Roman"/>
          <w:sz w:val="20"/>
          <w:szCs w:val="20"/>
          <w:lang w:eastAsia="en-US"/>
        </w:rPr>
        <w:t>Целью создания АИИСКУЭ является автоматизация следующих основных процессов учета коммерческой электроэнергии:</w:t>
      </w:r>
    </w:p>
    <w:p w:rsidR="00AD1601" w:rsidRPr="00AD1601" w:rsidRDefault="00AD1601" w:rsidP="00AD1601">
      <w:pPr>
        <w:spacing w:after="0" w:line="240" w:lineRule="auto"/>
        <w:ind w:right="-11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AD1601">
        <w:rPr>
          <w:rFonts w:ascii="Times New Roman" w:hAnsi="Times New Roman" w:cs="Times New Roman"/>
          <w:sz w:val="20"/>
          <w:szCs w:val="20"/>
          <w:lang w:eastAsia="en-US"/>
        </w:rPr>
        <w:t xml:space="preserve"> - выполнение измерений электроэнергии;</w:t>
      </w:r>
    </w:p>
    <w:p w:rsidR="00AD1601" w:rsidRPr="00AD1601" w:rsidRDefault="00AD1601" w:rsidP="00AD1601">
      <w:pPr>
        <w:spacing w:after="0" w:line="240" w:lineRule="auto"/>
        <w:ind w:right="-11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AD1601">
        <w:rPr>
          <w:rFonts w:ascii="Times New Roman" w:hAnsi="Times New Roman" w:cs="Times New Roman"/>
          <w:sz w:val="20"/>
          <w:szCs w:val="20"/>
          <w:lang w:eastAsia="en-US"/>
        </w:rPr>
        <w:t xml:space="preserve"> - автоматизированный сбор, хранение и передача интервальных данных коммерческого учета формируемых ИИК потр</w:t>
      </w:r>
      <w:r w:rsidRPr="00AD1601">
        <w:rPr>
          <w:rFonts w:ascii="Times New Roman" w:hAnsi="Times New Roman" w:cs="Times New Roman"/>
          <w:sz w:val="20"/>
          <w:szCs w:val="20"/>
          <w:lang w:eastAsia="en-US"/>
        </w:rPr>
        <w:t>е</w:t>
      </w:r>
      <w:r w:rsidRPr="00AD1601">
        <w:rPr>
          <w:rFonts w:ascii="Times New Roman" w:hAnsi="Times New Roman" w:cs="Times New Roman"/>
          <w:sz w:val="20"/>
          <w:szCs w:val="20"/>
          <w:lang w:eastAsia="en-US"/>
        </w:rPr>
        <w:t>бителей;</w:t>
      </w:r>
    </w:p>
    <w:p w:rsidR="00AD1601" w:rsidRPr="00AD1601" w:rsidRDefault="00AD1601" w:rsidP="00AD1601">
      <w:pPr>
        <w:spacing w:after="0" w:line="240" w:lineRule="auto"/>
        <w:ind w:right="-11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AD1601">
        <w:rPr>
          <w:rFonts w:ascii="Times New Roman" w:hAnsi="Times New Roman" w:cs="Times New Roman"/>
          <w:sz w:val="20"/>
          <w:szCs w:val="20"/>
          <w:lang w:eastAsia="en-US"/>
        </w:rPr>
        <w:t xml:space="preserve"> - обеспечение сбора, хранения и </w:t>
      </w:r>
      <w:proofErr w:type="gramStart"/>
      <w:r w:rsidRPr="00AD1601">
        <w:rPr>
          <w:rFonts w:ascii="Times New Roman" w:hAnsi="Times New Roman" w:cs="Times New Roman"/>
          <w:sz w:val="20"/>
          <w:szCs w:val="20"/>
          <w:lang w:eastAsia="en-US"/>
        </w:rPr>
        <w:t>передачи</w:t>
      </w:r>
      <w:proofErr w:type="gramEnd"/>
      <w:r w:rsidRPr="00AD1601">
        <w:rPr>
          <w:rFonts w:ascii="Times New Roman" w:hAnsi="Times New Roman" w:cs="Times New Roman"/>
          <w:sz w:val="20"/>
          <w:szCs w:val="20"/>
          <w:lang w:eastAsia="en-US"/>
        </w:rPr>
        <w:t xml:space="preserve"> данных коммерческого учета по точкам учета РРЭ.</w:t>
      </w:r>
    </w:p>
    <w:p w:rsidR="00AD1601" w:rsidRPr="00AD1601" w:rsidRDefault="00AD1601" w:rsidP="00AD1601">
      <w:pPr>
        <w:spacing w:after="0" w:line="240" w:lineRule="auto"/>
        <w:ind w:right="-11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AD1601">
        <w:rPr>
          <w:rFonts w:ascii="Times New Roman" w:hAnsi="Times New Roman" w:cs="Times New Roman"/>
          <w:sz w:val="20"/>
          <w:szCs w:val="20"/>
          <w:lang w:eastAsia="en-US"/>
        </w:rPr>
        <w:t xml:space="preserve"> - синхронизацию измерений Системы по времени.</w:t>
      </w:r>
    </w:p>
    <w:p w:rsidR="00AD1601" w:rsidRPr="00AD1601" w:rsidRDefault="00AD1601" w:rsidP="00AD1601">
      <w:pPr>
        <w:spacing w:after="0" w:line="240" w:lineRule="auto"/>
        <w:ind w:right="-11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AD1601">
        <w:rPr>
          <w:rFonts w:ascii="Times New Roman" w:hAnsi="Times New Roman" w:cs="Times New Roman"/>
          <w:sz w:val="20"/>
          <w:szCs w:val="20"/>
          <w:lang w:eastAsia="en-US"/>
        </w:rPr>
        <w:t xml:space="preserve"> Критериями достижения цели создания АИИСКУЭ  является  повышение достоверности учета электроэнергии;</w:t>
      </w:r>
    </w:p>
    <w:p w:rsidR="00AD1601" w:rsidRPr="00AD1601" w:rsidRDefault="00AD1601" w:rsidP="00AD1601">
      <w:pPr>
        <w:spacing w:after="0" w:line="240" w:lineRule="auto"/>
        <w:ind w:right="-11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D1601" w:rsidRPr="00AD1601" w:rsidRDefault="00AD1601" w:rsidP="00AD1601">
      <w:pPr>
        <w:spacing w:after="0" w:line="240" w:lineRule="auto"/>
        <w:ind w:right="-119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AD1601">
        <w:rPr>
          <w:rFonts w:ascii="Times New Roman" w:hAnsi="Times New Roman" w:cs="Times New Roman"/>
          <w:sz w:val="20"/>
          <w:szCs w:val="20"/>
        </w:rPr>
        <w:t xml:space="preserve">   </w:t>
      </w:r>
      <w:r w:rsidR="00804356">
        <w:rPr>
          <w:rFonts w:ascii="Times New Roman" w:hAnsi="Times New Roman" w:cs="Times New Roman"/>
          <w:b/>
          <w:sz w:val="20"/>
          <w:szCs w:val="20"/>
        </w:rPr>
        <w:t>4</w:t>
      </w:r>
      <w:r w:rsidRPr="00AD1601">
        <w:rPr>
          <w:rFonts w:ascii="Times New Roman" w:hAnsi="Times New Roman" w:cs="Times New Roman"/>
          <w:b/>
          <w:sz w:val="20"/>
          <w:szCs w:val="20"/>
        </w:rPr>
        <w:t>. Т</w:t>
      </w:r>
      <w:r w:rsidRPr="00AD1601">
        <w:rPr>
          <w:rFonts w:ascii="Times New Roman" w:hAnsi="Times New Roman" w:cs="Times New Roman"/>
          <w:b/>
          <w:sz w:val="20"/>
          <w:szCs w:val="20"/>
          <w:lang w:eastAsia="en-US"/>
        </w:rPr>
        <w:t>ребования к проекту</w:t>
      </w:r>
    </w:p>
    <w:p w:rsidR="00AD1601" w:rsidRPr="00AD1601" w:rsidRDefault="00804356" w:rsidP="00AD160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="00AD1601" w:rsidRPr="00AD1601">
        <w:rPr>
          <w:rFonts w:ascii="Times New Roman" w:hAnsi="Times New Roman" w:cs="Times New Roman"/>
          <w:b/>
          <w:sz w:val="20"/>
          <w:szCs w:val="20"/>
        </w:rPr>
        <w:t>.1 Специальные требования к составу проекта, содержанию и оформлению проекта</w:t>
      </w:r>
    </w:p>
    <w:p w:rsidR="00AD1601" w:rsidRPr="00AD1601" w:rsidRDefault="00AD1601" w:rsidP="00AD1601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1601">
        <w:rPr>
          <w:rFonts w:ascii="Times New Roman" w:hAnsi="Times New Roman" w:cs="Times New Roman"/>
          <w:sz w:val="20"/>
          <w:szCs w:val="20"/>
        </w:rPr>
        <w:t>Состав проектной документации: стадия «П», стадия «Р»</w:t>
      </w:r>
    </w:p>
    <w:p w:rsidR="00AD1601" w:rsidRPr="00AD1601" w:rsidRDefault="00AD1601" w:rsidP="00AD1601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  <w:r w:rsidRPr="00AD1601">
        <w:rPr>
          <w:rFonts w:ascii="Times New Roman" w:hAnsi="Times New Roman" w:cs="Times New Roman"/>
          <w:sz w:val="20"/>
          <w:szCs w:val="20"/>
        </w:rPr>
        <w:t>-</w:t>
      </w:r>
      <w:r w:rsidRPr="00AD1601">
        <w:rPr>
          <w:rFonts w:ascii="Times New Roman" w:hAnsi="Times New Roman" w:cs="Times New Roman"/>
          <w:sz w:val="20"/>
          <w:szCs w:val="20"/>
          <w:lang w:eastAsia="en-US"/>
        </w:rPr>
        <w:t xml:space="preserve"> Схема функциональной структуры</w:t>
      </w:r>
    </w:p>
    <w:p w:rsidR="00AD1601" w:rsidRPr="00AD1601" w:rsidRDefault="00AD1601" w:rsidP="00AD1601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  <w:r w:rsidRPr="00AD1601">
        <w:rPr>
          <w:rFonts w:ascii="Times New Roman" w:hAnsi="Times New Roman" w:cs="Times New Roman"/>
          <w:sz w:val="20"/>
          <w:szCs w:val="20"/>
          <w:lang w:eastAsia="en-US"/>
        </w:rPr>
        <w:t>- Перечень входных сигналов и данных</w:t>
      </w:r>
    </w:p>
    <w:p w:rsidR="00AD1601" w:rsidRPr="00AD1601" w:rsidRDefault="00AD1601" w:rsidP="00AD1601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  <w:r w:rsidRPr="00AD1601">
        <w:rPr>
          <w:rFonts w:ascii="Times New Roman" w:hAnsi="Times New Roman" w:cs="Times New Roman"/>
          <w:sz w:val="20"/>
          <w:szCs w:val="20"/>
          <w:lang w:eastAsia="en-US"/>
        </w:rPr>
        <w:t>- Пояснительная записка к техническому проекту</w:t>
      </w:r>
    </w:p>
    <w:p w:rsidR="00AD1601" w:rsidRPr="00AD1601" w:rsidRDefault="00AD1601" w:rsidP="00AD1601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  <w:r w:rsidRPr="00AD1601">
        <w:rPr>
          <w:rFonts w:ascii="Times New Roman" w:hAnsi="Times New Roman" w:cs="Times New Roman"/>
          <w:sz w:val="20"/>
          <w:szCs w:val="20"/>
          <w:lang w:eastAsia="en-US"/>
        </w:rPr>
        <w:t>- Описание автоматизируемых функций</w:t>
      </w:r>
    </w:p>
    <w:p w:rsidR="00AD1601" w:rsidRPr="00AD1601" w:rsidRDefault="00AD1601" w:rsidP="00AD1601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  <w:r w:rsidRPr="00AD1601">
        <w:rPr>
          <w:rFonts w:ascii="Times New Roman" w:hAnsi="Times New Roman" w:cs="Times New Roman"/>
          <w:sz w:val="20"/>
          <w:szCs w:val="20"/>
          <w:lang w:eastAsia="en-US"/>
        </w:rPr>
        <w:t>- Описание постановки задач (комплекса задач)</w:t>
      </w:r>
    </w:p>
    <w:p w:rsidR="00AD1601" w:rsidRPr="00AD1601" w:rsidRDefault="00AD1601" w:rsidP="00AD1601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  <w:r w:rsidRPr="00AD1601">
        <w:rPr>
          <w:rFonts w:ascii="Times New Roman" w:hAnsi="Times New Roman" w:cs="Times New Roman"/>
          <w:sz w:val="20"/>
          <w:szCs w:val="20"/>
          <w:lang w:eastAsia="en-US"/>
        </w:rPr>
        <w:t>- Описание комплекса технических средств</w:t>
      </w:r>
    </w:p>
    <w:p w:rsidR="00AD1601" w:rsidRPr="00AD1601" w:rsidRDefault="00AD1601" w:rsidP="00AD1601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  <w:r w:rsidRPr="00AD1601">
        <w:rPr>
          <w:rFonts w:ascii="Times New Roman" w:hAnsi="Times New Roman" w:cs="Times New Roman"/>
          <w:sz w:val="20"/>
          <w:szCs w:val="20"/>
          <w:lang w:eastAsia="en-US"/>
        </w:rPr>
        <w:t>- Описание организационной структуры</w:t>
      </w:r>
    </w:p>
    <w:p w:rsidR="00AD1601" w:rsidRPr="00AD1601" w:rsidRDefault="00AD1601" w:rsidP="00AD1601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  <w:r w:rsidRPr="00AD1601">
        <w:rPr>
          <w:rFonts w:ascii="Times New Roman" w:hAnsi="Times New Roman" w:cs="Times New Roman"/>
          <w:sz w:val="20"/>
          <w:szCs w:val="20"/>
          <w:lang w:eastAsia="en-US"/>
        </w:rPr>
        <w:t>- Метрологическое обеспечение</w:t>
      </w:r>
    </w:p>
    <w:p w:rsidR="00AD1601" w:rsidRPr="00AD1601" w:rsidRDefault="00AD1601" w:rsidP="00AD1601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  <w:r w:rsidRPr="00AD1601">
        <w:rPr>
          <w:rFonts w:ascii="Times New Roman" w:hAnsi="Times New Roman" w:cs="Times New Roman"/>
          <w:sz w:val="20"/>
          <w:szCs w:val="20"/>
          <w:lang w:eastAsia="en-US"/>
        </w:rPr>
        <w:t>- Проектная оценка надежности системы</w:t>
      </w:r>
    </w:p>
    <w:p w:rsidR="00AD1601" w:rsidRPr="00AD1601" w:rsidRDefault="00AD1601" w:rsidP="00AD1601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  <w:r w:rsidRPr="00AD1601">
        <w:rPr>
          <w:rFonts w:ascii="Times New Roman" w:hAnsi="Times New Roman" w:cs="Times New Roman"/>
          <w:sz w:val="20"/>
          <w:szCs w:val="20"/>
          <w:lang w:eastAsia="en-US"/>
        </w:rPr>
        <w:t>- Спецификация оборудования</w:t>
      </w:r>
    </w:p>
    <w:p w:rsidR="00AD1601" w:rsidRPr="00AD1601" w:rsidRDefault="00AD1601" w:rsidP="00AD1601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  <w:r w:rsidRPr="00AD1601">
        <w:rPr>
          <w:rFonts w:ascii="Times New Roman" w:hAnsi="Times New Roman" w:cs="Times New Roman"/>
          <w:sz w:val="20"/>
          <w:szCs w:val="20"/>
          <w:lang w:eastAsia="en-US"/>
        </w:rPr>
        <w:t>- Инструкция по эксплуатации КТС</w:t>
      </w:r>
    </w:p>
    <w:p w:rsidR="00AD1601" w:rsidRPr="00AD1601" w:rsidRDefault="00AD1601" w:rsidP="00AD1601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  <w:r w:rsidRPr="00AD1601">
        <w:rPr>
          <w:rFonts w:ascii="Times New Roman" w:hAnsi="Times New Roman" w:cs="Times New Roman"/>
          <w:sz w:val="20"/>
          <w:szCs w:val="20"/>
          <w:lang w:eastAsia="en-US"/>
        </w:rPr>
        <w:t>- Схема соединений внешних проводок</w:t>
      </w:r>
    </w:p>
    <w:p w:rsidR="00AD1601" w:rsidRPr="00AD1601" w:rsidRDefault="00AD1601" w:rsidP="00AD1601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  <w:r w:rsidRPr="00AD1601">
        <w:rPr>
          <w:rFonts w:ascii="Times New Roman" w:hAnsi="Times New Roman" w:cs="Times New Roman"/>
          <w:sz w:val="20"/>
          <w:szCs w:val="20"/>
          <w:lang w:eastAsia="en-US"/>
        </w:rPr>
        <w:t>- Схема подключения внешних проводок</w:t>
      </w:r>
    </w:p>
    <w:p w:rsidR="00AD1601" w:rsidRPr="00AD1601" w:rsidRDefault="00AD1601" w:rsidP="00AD1601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  <w:r w:rsidRPr="00AD1601">
        <w:rPr>
          <w:rFonts w:ascii="Times New Roman" w:hAnsi="Times New Roman" w:cs="Times New Roman"/>
          <w:sz w:val="20"/>
          <w:szCs w:val="20"/>
          <w:lang w:eastAsia="en-US"/>
        </w:rPr>
        <w:t>- Таблица соединений и подключений (кабельный журнал)</w:t>
      </w:r>
    </w:p>
    <w:p w:rsidR="00AD1601" w:rsidRPr="00AD1601" w:rsidRDefault="00AD1601" w:rsidP="00AD1601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  <w:r w:rsidRPr="00AD1601">
        <w:rPr>
          <w:rFonts w:ascii="Times New Roman" w:hAnsi="Times New Roman" w:cs="Times New Roman"/>
          <w:sz w:val="20"/>
          <w:szCs w:val="20"/>
          <w:lang w:eastAsia="en-US"/>
        </w:rPr>
        <w:t>- Чертеж общего вида</w:t>
      </w:r>
    </w:p>
    <w:p w:rsidR="00AD1601" w:rsidRPr="00AD1601" w:rsidRDefault="00AD1601" w:rsidP="00AD1601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  <w:r w:rsidRPr="00AD1601">
        <w:rPr>
          <w:rFonts w:ascii="Times New Roman" w:hAnsi="Times New Roman" w:cs="Times New Roman"/>
          <w:sz w:val="20"/>
          <w:szCs w:val="20"/>
          <w:lang w:eastAsia="en-US"/>
        </w:rPr>
        <w:t>- Чертеж установки технических средств</w:t>
      </w:r>
    </w:p>
    <w:p w:rsidR="00AD1601" w:rsidRPr="00AD1601" w:rsidRDefault="00AD1601" w:rsidP="00AD1601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  <w:r w:rsidRPr="00AD1601">
        <w:rPr>
          <w:rFonts w:ascii="Times New Roman" w:hAnsi="Times New Roman" w:cs="Times New Roman"/>
          <w:sz w:val="20"/>
          <w:szCs w:val="20"/>
          <w:lang w:eastAsia="en-US"/>
        </w:rPr>
        <w:t>- Схема принципиальная (однолинейная)</w:t>
      </w:r>
    </w:p>
    <w:p w:rsidR="00AD1601" w:rsidRPr="00AD1601" w:rsidRDefault="00AD1601" w:rsidP="00AD1601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  <w:r w:rsidRPr="00AD1601">
        <w:rPr>
          <w:rFonts w:ascii="Times New Roman" w:hAnsi="Times New Roman" w:cs="Times New Roman"/>
          <w:sz w:val="20"/>
          <w:szCs w:val="20"/>
          <w:lang w:eastAsia="en-US"/>
        </w:rPr>
        <w:t>- Схема структурная комплекса технических средств</w:t>
      </w:r>
    </w:p>
    <w:p w:rsidR="00AD1601" w:rsidRPr="00AD1601" w:rsidRDefault="00AD1601" w:rsidP="00AD1601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  <w:r w:rsidRPr="00AD1601">
        <w:rPr>
          <w:rFonts w:ascii="Times New Roman" w:hAnsi="Times New Roman" w:cs="Times New Roman"/>
          <w:sz w:val="20"/>
          <w:szCs w:val="20"/>
          <w:lang w:eastAsia="en-US"/>
        </w:rPr>
        <w:t>- План расположения оборудования и проводок.</w:t>
      </w:r>
    </w:p>
    <w:p w:rsidR="00AD1601" w:rsidRPr="00AD1601" w:rsidRDefault="00AD1601" w:rsidP="00AD160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D1601">
        <w:rPr>
          <w:rFonts w:ascii="Times New Roman" w:hAnsi="Times New Roman" w:cs="Times New Roman"/>
          <w:sz w:val="20"/>
          <w:szCs w:val="20"/>
        </w:rPr>
        <w:t>Все технические решения согласовываются с Заказчиком.</w:t>
      </w:r>
    </w:p>
    <w:p w:rsidR="00AD1601" w:rsidRPr="00AD1601" w:rsidRDefault="00AD1601" w:rsidP="00AD160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D1601" w:rsidRPr="00804356" w:rsidRDefault="00804356" w:rsidP="00804356">
      <w:pPr>
        <w:pStyle w:val="1"/>
        <w:spacing w:before="40"/>
        <w:ind w:right="176"/>
        <w:rPr>
          <w:b/>
          <w:sz w:val="20"/>
          <w:szCs w:val="20"/>
        </w:rPr>
      </w:pPr>
      <w:bookmarkStart w:id="0" w:name="_Toc352957198"/>
      <w:bookmarkStart w:id="1" w:name="_Toc392670562"/>
      <w:r>
        <w:rPr>
          <w:b/>
          <w:sz w:val="20"/>
          <w:szCs w:val="20"/>
        </w:rPr>
        <w:t>4</w:t>
      </w:r>
      <w:r w:rsidR="00AD1601" w:rsidRPr="00804356">
        <w:rPr>
          <w:b/>
          <w:sz w:val="20"/>
          <w:szCs w:val="20"/>
        </w:rPr>
        <w:t xml:space="preserve">.2 Требования к структуре </w:t>
      </w:r>
      <w:bookmarkEnd w:id="0"/>
      <w:r w:rsidR="00AD1601" w:rsidRPr="00804356">
        <w:rPr>
          <w:b/>
          <w:sz w:val="20"/>
          <w:szCs w:val="20"/>
        </w:rPr>
        <w:t>АИИСКУЭ, к средствам и способам связи для информационного обмена между ко</w:t>
      </w:r>
      <w:r w:rsidR="00AD1601" w:rsidRPr="00804356">
        <w:rPr>
          <w:b/>
          <w:sz w:val="20"/>
          <w:szCs w:val="20"/>
        </w:rPr>
        <w:t>м</w:t>
      </w:r>
      <w:r w:rsidR="00AD1601" w:rsidRPr="00804356">
        <w:rPr>
          <w:b/>
          <w:sz w:val="20"/>
          <w:szCs w:val="20"/>
        </w:rPr>
        <w:t>понентами системы.</w:t>
      </w:r>
      <w:bookmarkEnd w:id="1"/>
    </w:p>
    <w:tbl>
      <w:tblPr>
        <w:tblW w:w="10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8" w:type="dxa"/>
        </w:tblCellMar>
        <w:tblLook w:val="04A0"/>
      </w:tblPr>
      <w:tblGrid>
        <w:gridCol w:w="10851"/>
      </w:tblGrid>
      <w:tr w:rsidR="00AD1601" w:rsidRPr="00AD1601" w:rsidTr="009B71C3">
        <w:trPr>
          <w:trHeight w:val="416"/>
        </w:trPr>
        <w:tc>
          <w:tcPr>
            <w:tcW w:w="10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601" w:rsidRPr="00AD1601" w:rsidRDefault="00AD1601" w:rsidP="00AD1601">
            <w:pPr>
              <w:spacing w:after="0" w:line="240" w:lineRule="auto"/>
              <w:ind w:right="-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оборудование, устанавливаемое на производственной площадке ООО «ЗМЗ», должно интегрироваться в единый программно-технический комплекс </w:t>
            </w:r>
            <w:r w:rsidRPr="00AD1601">
              <w:rPr>
                <w:rFonts w:ascii="Times New Roman" w:hAnsi="Times New Roman" w:cs="Times New Roman"/>
                <w:bCs/>
                <w:sz w:val="20"/>
                <w:szCs w:val="20"/>
              </w:rPr>
              <w:t>АИИСКУЭ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, энергосистему объекта и сосредотачивать в себе всю информацию, позволяющую осуществлять технический учет электроэнергии, контроль над оборудованием электрической сети.</w:t>
            </w:r>
          </w:p>
          <w:p w:rsidR="00AD1601" w:rsidRPr="00AD1601" w:rsidRDefault="00AD1601" w:rsidP="00AD1601">
            <w:pPr>
              <w:spacing w:after="0" w:line="240" w:lineRule="auto"/>
              <w:ind w:right="-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Система технического учета электроэнергии должна измерять, отражать и аккумулировать следующую информацию:</w:t>
            </w:r>
          </w:p>
          <w:p w:rsidR="00AD1601" w:rsidRPr="00AD1601" w:rsidRDefault="00AD1601" w:rsidP="00AD1601">
            <w:pPr>
              <w:spacing w:after="0" w:line="240" w:lineRule="auto"/>
              <w:ind w:right="-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- Потребление электрической энергии: </w:t>
            </w:r>
            <w:proofErr w:type="spellStart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пофазно</w:t>
            </w:r>
            <w:proofErr w:type="spellEnd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и суммарно (кВтч);</w:t>
            </w:r>
          </w:p>
          <w:p w:rsidR="00AD1601" w:rsidRPr="00AD1601" w:rsidRDefault="00AD1601" w:rsidP="00AD1601">
            <w:pPr>
              <w:spacing w:after="0" w:line="240" w:lineRule="auto"/>
              <w:ind w:right="-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- Потребление реактивной энергии: </w:t>
            </w:r>
            <w:proofErr w:type="spellStart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пофазно</w:t>
            </w:r>
            <w:proofErr w:type="spellEnd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и суммарно (</w:t>
            </w:r>
            <w:proofErr w:type="spellStart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кВАрч</w:t>
            </w:r>
            <w:proofErr w:type="spellEnd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D1601" w:rsidRPr="00AD1601" w:rsidRDefault="00AD1601" w:rsidP="00AD1601">
            <w:pPr>
              <w:spacing w:after="0" w:line="240" w:lineRule="auto"/>
              <w:ind w:right="-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- Потребление полной энергии: </w:t>
            </w:r>
            <w:proofErr w:type="spellStart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пофазно</w:t>
            </w:r>
            <w:proofErr w:type="spellEnd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и суммарно (</w:t>
            </w:r>
            <w:proofErr w:type="spellStart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кВАч</w:t>
            </w:r>
            <w:proofErr w:type="spellEnd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D1601" w:rsidRPr="00AD1601" w:rsidRDefault="00AD1601" w:rsidP="00AD1601">
            <w:pPr>
              <w:spacing w:after="0" w:line="240" w:lineRule="auto"/>
              <w:ind w:right="-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- Мгновенное потребление активной энергии: </w:t>
            </w:r>
            <w:proofErr w:type="spellStart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пофазно</w:t>
            </w:r>
            <w:proofErr w:type="spellEnd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и суммарно (кВт);</w:t>
            </w:r>
          </w:p>
          <w:p w:rsidR="00AD1601" w:rsidRPr="00AD1601" w:rsidRDefault="00AD1601" w:rsidP="00AD1601">
            <w:pPr>
              <w:spacing w:after="0" w:line="240" w:lineRule="auto"/>
              <w:ind w:right="-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- Мгновенное потребление реактивной энергии: </w:t>
            </w:r>
            <w:proofErr w:type="spellStart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пофазно</w:t>
            </w:r>
            <w:proofErr w:type="spellEnd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и суммарно (</w:t>
            </w:r>
            <w:proofErr w:type="spellStart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кВАр</w:t>
            </w:r>
            <w:proofErr w:type="spellEnd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D1601" w:rsidRPr="00AD1601" w:rsidRDefault="00AD1601" w:rsidP="00AD1601">
            <w:pPr>
              <w:spacing w:after="0" w:line="240" w:lineRule="auto"/>
              <w:ind w:right="-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- Мгновенное потребление полной энергии: </w:t>
            </w:r>
            <w:proofErr w:type="spellStart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пофазно</w:t>
            </w:r>
            <w:proofErr w:type="spellEnd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и суммарно (КВА);</w:t>
            </w:r>
          </w:p>
          <w:p w:rsidR="00AD1601" w:rsidRPr="00AD1601" w:rsidRDefault="00AD1601" w:rsidP="00AD1601">
            <w:pPr>
              <w:spacing w:after="0" w:line="240" w:lineRule="auto"/>
              <w:ind w:right="-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- Напряжение:  </w:t>
            </w:r>
            <w:proofErr w:type="spellStart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пофазно</w:t>
            </w:r>
            <w:proofErr w:type="spellEnd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и результирующее (В);</w:t>
            </w:r>
          </w:p>
          <w:p w:rsidR="00AD1601" w:rsidRPr="00AD1601" w:rsidRDefault="00AD1601" w:rsidP="00AD1601">
            <w:pPr>
              <w:spacing w:after="0" w:line="240" w:lineRule="auto"/>
              <w:ind w:right="-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- Ток </w:t>
            </w:r>
            <w:proofErr w:type="spellStart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пофазно</w:t>
            </w:r>
            <w:proofErr w:type="spellEnd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(А) и суммарно;</w:t>
            </w:r>
          </w:p>
          <w:p w:rsidR="00AD1601" w:rsidRPr="00AD1601" w:rsidRDefault="00AD1601" w:rsidP="00AD1601">
            <w:pPr>
              <w:spacing w:after="0" w:line="240" w:lineRule="auto"/>
              <w:ind w:right="-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- Значение коэффициента мощности (cos</w:t>
            </w:r>
            <w:r w:rsidRPr="00AD1601">
              <w:rPr>
                <w:rFonts w:ascii="Times New Roman" w:eastAsia="Microsoft YaHei" w:hAnsi="Times New Roman" w:cs="Times New Roman"/>
                <w:sz w:val="20"/>
                <w:szCs w:val="20"/>
              </w:rPr>
              <w:t>φ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пофазно</w:t>
            </w:r>
            <w:proofErr w:type="spellEnd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и в целом;</w:t>
            </w:r>
          </w:p>
          <w:p w:rsidR="00AD1601" w:rsidRPr="00AD1601" w:rsidRDefault="00AD1601" w:rsidP="00AD1601">
            <w:pPr>
              <w:spacing w:after="0" w:line="240" w:lineRule="auto"/>
              <w:ind w:right="-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- Частота питающей сети</w:t>
            </w:r>
          </w:p>
          <w:p w:rsidR="00AD1601" w:rsidRPr="00AD1601" w:rsidRDefault="00AD1601" w:rsidP="00AD1601">
            <w:pPr>
              <w:spacing w:after="0" w:line="240" w:lineRule="auto"/>
              <w:ind w:right="-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Система должна поддерживать протоколы производителей оборудования нижнего уровня без необходимости использования 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аппаратных конвертеров протоколов за исключением случаев, когда протокол конвертируется </w:t>
            </w:r>
            <w:proofErr w:type="gramStart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аналогичный, но работа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щий на интерфейсе </w:t>
            </w:r>
            <w:proofErr w:type="spellStart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Ethernet</w:t>
            </w:r>
            <w:proofErr w:type="spellEnd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TCP/IP.</w:t>
            </w:r>
          </w:p>
          <w:p w:rsidR="00AD1601" w:rsidRPr="00AD1601" w:rsidRDefault="00AD1601" w:rsidP="00AD1601">
            <w:pPr>
              <w:spacing w:after="0" w:line="240" w:lineRule="auto"/>
              <w:ind w:right="-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К системе должен быть организован защищенный удаленный доступ представителей Заказчика по сети </w:t>
            </w:r>
            <w:proofErr w:type="spellStart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Internet</w:t>
            </w:r>
            <w:proofErr w:type="spellEnd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1601" w:rsidRPr="00AD1601" w:rsidRDefault="00AD1601" w:rsidP="00AD1601">
            <w:pPr>
              <w:spacing w:after="0" w:line="240" w:lineRule="auto"/>
              <w:ind w:right="-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Данные о потреблении электрической энергии и мощности также должны передаваться в соответствующую служб</w:t>
            </w:r>
            <w:proofErr w:type="gramStart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у ООО</w:t>
            </w:r>
            <w:proofErr w:type="gramEnd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«ЗМЗ». Функционально структура системы делится на три уровня: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- 1-й уровень (уровень </w:t>
            </w:r>
            <w:proofErr w:type="spellStart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КИПиА</w:t>
            </w:r>
            <w:proofErr w:type="spellEnd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) - включает измерительно-информационные комплексы точек измерений производств</w:t>
            </w:r>
            <w:proofErr w:type="gramStart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«ЗМЗ»;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- 2-й уровень (сбор и передача информации) - включает в себя подсистему на базе комплекса программно-технических средств, каналы связи со счётчиками, каналы связи с вышестоящим уровнем, многофункциональные шлюзы, концентр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торы-мультиплексоры данных, преобразователи интерфейсов, коммуникационную аппаратуру;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- 3-й уровень (информационный уровень) - включает в себя информационно-вычислительный комплекс: действующий сервер </w:t>
            </w:r>
            <w:r w:rsidRPr="00AD16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АИИСКУЭ  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с установленным программным обеспечением ТМ Энергетика для обработки информации, вывода экранных </w:t>
            </w:r>
            <w:proofErr w:type="spellStart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мнемокадров</w:t>
            </w:r>
            <w:proofErr w:type="spellEnd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, работы с WEB-формами, подсистему обеспечения единого времени (СОЕВ), сервер БД и клие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ты.</w:t>
            </w:r>
          </w:p>
          <w:p w:rsidR="00AD1601" w:rsidRPr="00AD1601" w:rsidRDefault="00AD1601" w:rsidP="00AD1601">
            <w:pPr>
              <w:spacing w:after="0" w:line="240" w:lineRule="auto"/>
              <w:ind w:right="-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Терминалы нижнего уровня являются независимыми аппаратными модулями, способными функционировать без участия системы в целом, что должно удовлетворять требованиям по надёжности, безопасности и аварийной устойчивости.</w:t>
            </w:r>
          </w:p>
          <w:p w:rsidR="00AD1601" w:rsidRPr="00AD1601" w:rsidRDefault="00AD1601" w:rsidP="00AD1601">
            <w:pPr>
              <w:spacing w:after="0" w:line="240" w:lineRule="auto"/>
              <w:ind w:right="-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Для реализации функций автоматизированного контроля параметров потребления, на объектах учета должны быть устано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лены приборы учета электрической энергии и мощности, снабженные цифровым интерфейсом RS485, и поддерживающие протокол передачи данных </w:t>
            </w:r>
            <w:proofErr w:type="spellStart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Modbus</w:t>
            </w:r>
            <w:proofErr w:type="spellEnd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RTU или </w:t>
            </w:r>
            <w:proofErr w:type="spellStart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Modbus</w:t>
            </w:r>
            <w:proofErr w:type="spellEnd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TCP. Приборы учета должны иметь внутреннюю энергонезависимую память для хранения измерений.</w:t>
            </w:r>
          </w:p>
          <w:p w:rsidR="00AD1601" w:rsidRPr="00AD1601" w:rsidRDefault="00AD1601" w:rsidP="00AD1601">
            <w:pPr>
              <w:spacing w:after="0" w:line="240" w:lineRule="auto"/>
              <w:ind w:right="-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Счетчики должны быть подключены к технологической сети предприятия через многофункциональные шлюзы сбора да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ных посредством интерфейса RS485 для обеспечения чтения измерений. На физическом уровне связь между коммуникац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онным оборудованием должна обеспечиваться за счет использования существующей технологической ЛВС предприятия стандарта </w:t>
            </w:r>
            <w:proofErr w:type="spellStart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Ethernet</w:t>
            </w:r>
            <w:proofErr w:type="spellEnd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по медным линиям связи типа «витая пара» или волоконно-оптической сети.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Между сервером </w:t>
            </w:r>
            <w:r w:rsidRPr="00AD16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АИИСКУЭ  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и клиентами обмен данными должен производиться по WEB-интерфейсу.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При необходимости организации информационного обмена со смежными системами следует использовать инструменты на базе </w:t>
            </w:r>
            <w:proofErr w:type="spellStart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EcoStruxure</w:t>
            </w:r>
            <w:proofErr w:type="spellEnd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Services</w:t>
            </w:r>
            <w:proofErr w:type="spellEnd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(EWS), OPC-протоколов и баз данных MS SQL. 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Расширяемая часть </w:t>
            </w:r>
            <w:r w:rsidRPr="00AD16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АИИСКУЭ 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должна представлять собой комплекс программно-технических средств, состоящий </w:t>
            </w:r>
            <w:proofErr w:type="gramStart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-первичных измерительных преобразователей;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-вторичных цепей между первичными измерителями и счетчиками (приборами учета);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-средств учета электроэнергии - многофункциональных счетчиков;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-преобразователей интерфейсов передачи данных;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-многофункциональные шлюзы;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-сервера </w:t>
            </w:r>
            <w:r w:rsidRPr="00AD1601">
              <w:rPr>
                <w:rFonts w:ascii="Times New Roman" w:hAnsi="Times New Roman" w:cs="Times New Roman"/>
                <w:bCs/>
                <w:sz w:val="20"/>
                <w:szCs w:val="20"/>
              </w:rPr>
              <w:t>АИИСКУЭ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и «тонких» клиентов </w:t>
            </w:r>
            <w:r w:rsidRPr="00AD1601">
              <w:rPr>
                <w:rFonts w:ascii="Times New Roman" w:hAnsi="Times New Roman" w:cs="Times New Roman"/>
                <w:bCs/>
                <w:sz w:val="20"/>
                <w:szCs w:val="20"/>
              </w:rPr>
              <w:t>АИИСКУЭ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на базе WEB-браузера (действующий сервер SE)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-каналов связи между шлюзами, сервером </w:t>
            </w:r>
            <w:r w:rsidRPr="00AD1601">
              <w:rPr>
                <w:rFonts w:ascii="Times New Roman" w:hAnsi="Times New Roman" w:cs="Times New Roman"/>
                <w:bCs/>
                <w:sz w:val="20"/>
                <w:szCs w:val="20"/>
              </w:rPr>
              <w:t>АИИСКУЭ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и клиентами.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Программное обеспечение верхнего уровня системы должно удовлетворять принципам построения систем на основе компонентов </w:t>
            </w:r>
            <w:proofErr w:type="spellStart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StruxureWare</w:t>
            </w:r>
            <w:proofErr w:type="spellEnd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и иметь возможность взаимной интеграции. Система относится к нижнему уровню (уровню управления объектом) в иерархии систем </w:t>
            </w:r>
            <w:proofErr w:type="spellStart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StruxureWare</w:t>
            </w:r>
            <w:proofErr w:type="spellEnd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Измерение электроэнергии должно выполняться счетчиками электроэнергии через первичные преобразователи тока и напряжения (для счетчиков трансформаторного включения). По принципу цифровой обработки входных сигналов сче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чик осуществляет измерение текущих значений фазных напряжений, токов, активной и полной мощности по каждой фазе и производит вычисления потребленной активной и реактивной электроэнергии. Счетчики автоматически записывают в память измеренные величины (активную энергию нарастающим итогом) и отображают на встроенном дисплее основную и вспомогательную информацию (основные и вспомогательные величины на жидкокристаллическом индикаторе).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Информация от счетчиков электроэнергии должна передаваться по интерфейсу RS-485 на шлюзы MOXA либо модем. На одну последовательную шину RS-485 должно подключаться не более 8 счетчиков.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Шлюзы MOXA должны подключаться по интерфейсу </w:t>
            </w:r>
            <w:proofErr w:type="spellStart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Ethernet</w:t>
            </w:r>
            <w:proofErr w:type="spellEnd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к локальной сети предприятия или к Ethernet-коммутатору.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Интеграция с действующим сервером </w:t>
            </w:r>
            <w:r w:rsidRPr="00AD1601">
              <w:rPr>
                <w:rFonts w:ascii="Times New Roman" w:hAnsi="Times New Roman" w:cs="Times New Roman"/>
                <w:bCs/>
                <w:sz w:val="20"/>
                <w:szCs w:val="20"/>
              </w:rPr>
              <w:t>АИИСКУЭ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должна осуществлять сбор, анализ и хранение информации об измер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ниях электроэнергии, а также величин, отраженных в п.3.1. со всех счетчиков по интерфейсу </w:t>
            </w:r>
            <w:proofErr w:type="spellStart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Ethernet</w:t>
            </w:r>
            <w:proofErr w:type="spellEnd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TCP/IP через ко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мутаторы и шлюзы </w:t>
            </w:r>
            <w:proofErr w:type="spellStart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Modbus</w:t>
            </w:r>
            <w:proofErr w:type="spellEnd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RTU/</w:t>
            </w:r>
            <w:proofErr w:type="spellStart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Modbus</w:t>
            </w:r>
            <w:proofErr w:type="spellEnd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TCP. Полученные данные обрабатываются и сохраняются в архивах памяти. Далее данные могут передаваться в системы вышестоящего уровня и использоваться для создания пользовательских о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четов на клиентах </w:t>
            </w:r>
            <w:r w:rsidRPr="00AD1601">
              <w:rPr>
                <w:rFonts w:ascii="Times New Roman" w:hAnsi="Times New Roman" w:cs="Times New Roman"/>
                <w:bCs/>
                <w:sz w:val="20"/>
                <w:szCs w:val="20"/>
              </w:rPr>
              <w:t>АИИСКУЭ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При проектировании </w:t>
            </w:r>
            <w:r w:rsidRPr="00AD1601">
              <w:rPr>
                <w:rFonts w:ascii="Times New Roman" w:hAnsi="Times New Roman" w:cs="Times New Roman"/>
                <w:bCs/>
                <w:sz w:val="20"/>
                <w:szCs w:val="20"/>
              </w:rPr>
              <w:t>АИИСКУЭ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 использовать измерительные трансформаторы тока и напряжения навесн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го исполнения.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Класс точности измерительных </w:t>
            </w:r>
            <w:proofErr w:type="gramStart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ТТ</w:t>
            </w:r>
            <w:proofErr w:type="gramEnd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и ТН должен быть не ниже требуемого для удовлетворения требованиям оптового рынка электрической энергии (мощности).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Связь сервера и шкафов </w:t>
            </w:r>
            <w:r w:rsidRPr="00AD1601">
              <w:rPr>
                <w:rFonts w:ascii="Times New Roman" w:hAnsi="Times New Roman" w:cs="Times New Roman"/>
                <w:bCs/>
                <w:sz w:val="20"/>
                <w:szCs w:val="20"/>
              </w:rPr>
              <w:t>АИИСКУЭ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, а так же передача данных осуществляется по корпоративной сет</w:t>
            </w:r>
            <w:proofErr w:type="gramStart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и ООО</w:t>
            </w:r>
            <w:proofErr w:type="gramEnd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«ЗМЗ» с протоколом </w:t>
            </w:r>
            <w:proofErr w:type="spellStart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Ethernet</w:t>
            </w:r>
            <w:proofErr w:type="spellEnd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. Места для подключения к сети (розетки </w:t>
            </w:r>
            <w:proofErr w:type="spellStart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Ethernet</w:t>
            </w:r>
            <w:proofErr w:type="spellEnd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) также предоставляются ООО «ЗМЗ» на рассто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нии не более 100 метров от каждого шкафа связи </w:t>
            </w:r>
            <w:r w:rsidRPr="00AD1601">
              <w:rPr>
                <w:rFonts w:ascii="Times New Roman" w:hAnsi="Times New Roman" w:cs="Times New Roman"/>
                <w:bCs/>
                <w:sz w:val="20"/>
                <w:szCs w:val="20"/>
              </w:rPr>
              <w:t>АИИСКУЭ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1601" w:rsidRPr="00804356" w:rsidRDefault="00804356" w:rsidP="00804356">
            <w:pPr>
              <w:pStyle w:val="1"/>
              <w:spacing w:before="40"/>
              <w:ind w:right="176"/>
              <w:rPr>
                <w:b/>
                <w:sz w:val="20"/>
                <w:szCs w:val="20"/>
              </w:rPr>
            </w:pPr>
            <w:bookmarkStart w:id="2" w:name="_Toc317751007"/>
            <w:bookmarkStart w:id="3" w:name="_Toc320520829"/>
            <w:bookmarkStart w:id="4" w:name="_Toc392670563"/>
            <w:r>
              <w:rPr>
                <w:b/>
                <w:sz w:val="20"/>
                <w:szCs w:val="20"/>
              </w:rPr>
              <w:t>4</w:t>
            </w:r>
            <w:r w:rsidR="00AD1601" w:rsidRPr="00804356">
              <w:rPr>
                <w:b/>
                <w:sz w:val="20"/>
                <w:szCs w:val="20"/>
              </w:rPr>
              <w:t xml:space="preserve">.3 Требования к функционированию </w:t>
            </w:r>
            <w:bookmarkEnd w:id="2"/>
            <w:bookmarkEnd w:id="3"/>
            <w:r w:rsidR="00AD1601" w:rsidRPr="00804356">
              <w:rPr>
                <w:b/>
                <w:sz w:val="20"/>
                <w:szCs w:val="20"/>
              </w:rPr>
              <w:t>системы</w:t>
            </w:r>
            <w:bookmarkEnd w:id="4"/>
          </w:p>
          <w:p w:rsidR="00AD1601" w:rsidRPr="00AD1601" w:rsidRDefault="00804356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D1601" w:rsidRPr="00AD1601">
              <w:rPr>
                <w:rFonts w:ascii="Times New Roman" w:hAnsi="Times New Roman" w:cs="Times New Roman"/>
                <w:b/>
                <w:sz w:val="20"/>
                <w:szCs w:val="20"/>
              </w:rPr>
              <w:t>.3.1 Функционирование в нормальном режиме.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При нормальном функционировании </w:t>
            </w:r>
            <w:r w:rsidRPr="00AD1601">
              <w:rPr>
                <w:rFonts w:ascii="Times New Roman" w:hAnsi="Times New Roman" w:cs="Times New Roman"/>
                <w:bCs/>
                <w:sz w:val="20"/>
                <w:szCs w:val="20"/>
              </w:rPr>
              <w:t>АИИСКУЭ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должна работать в автономном режиме.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Сбор, обработка и архивирование данных должны производиться автоматически, согласно требуемой периодичности, без запросов и заданий каких-либо функций со стороны эксплуатирующего персонала.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Ввод данных в систему осуществляется со счетчиков электроэнергии.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Опрос каналов ввода информации модулями нижнего уровня осуществляется циклически.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информационных сигналов, передаваемых на верхний уровень, как дискретных, так и аналоговых, ос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ществляется циклически (по глобальному опросу с заданной периодичностью).   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информации (вывод) должно осуществляться как в автоматическом режиме, так и по запросу эксплу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тирующего персонала. Вывод данных </w:t>
            </w:r>
            <w:r w:rsidRPr="00AD1601">
              <w:rPr>
                <w:rFonts w:ascii="Times New Roman" w:hAnsi="Times New Roman" w:cs="Times New Roman"/>
                <w:bCs/>
                <w:sz w:val="20"/>
                <w:szCs w:val="20"/>
              </w:rPr>
              <w:t>АИИСКУЭ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предусматривается на </w:t>
            </w:r>
            <w:proofErr w:type="spellStart"/>
            <w:proofErr w:type="gramStart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видео-дисплейные</w:t>
            </w:r>
            <w:proofErr w:type="spellEnd"/>
            <w:proofErr w:type="gramEnd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терминалы клиентов </w:t>
            </w:r>
            <w:r w:rsidRPr="00AD1601">
              <w:rPr>
                <w:rFonts w:ascii="Times New Roman" w:hAnsi="Times New Roman" w:cs="Times New Roman"/>
                <w:bCs/>
                <w:sz w:val="20"/>
                <w:szCs w:val="20"/>
              </w:rPr>
              <w:t>АИ</w:t>
            </w:r>
            <w:r w:rsidRPr="00AD1601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D1601">
              <w:rPr>
                <w:rFonts w:ascii="Times New Roman" w:hAnsi="Times New Roman" w:cs="Times New Roman"/>
                <w:bCs/>
                <w:sz w:val="20"/>
                <w:szCs w:val="20"/>
              </w:rPr>
              <w:t>СКУЭ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601">
              <w:rPr>
                <w:rFonts w:ascii="Times New Roman" w:hAnsi="Times New Roman" w:cs="Times New Roman"/>
                <w:bCs/>
                <w:sz w:val="20"/>
                <w:szCs w:val="20"/>
              </w:rPr>
              <w:t>АИИСКУЭ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должна предоставлять собой совокупность самостоятельных узлов, выполняющих свои функции независимо от функционирования отдельных частей. Так, при выводе из работы сервера </w:t>
            </w:r>
            <w:r w:rsidRPr="00AD1601">
              <w:rPr>
                <w:rFonts w:ascii="Times New Roman" w:hAnsi="Times New Roman" w:cs="Times New Roman"/>
                <w:bCs/>
                <w:sz w:val="20"/>
                <w:szCs w:val="20"/>
              </w:rPr>
              <w:t>АИИСКУЭ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данные (активная энергия нара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тающим итогом) от точек учета должны накапливаться в памяти электросчетчиков.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интерфейсом </w:t>
            </w:r>
            <w:r w:rsidRPr="00AD1601">
              <w:rPr>
                <w:rFonts w:ascii="Times New Roman" w:hAnsi="Times New Roman" w:cs="Times New Roman"/>
                <w:bCs/>
                <w:sz w:val="20"/>
                <w:szCs w:val="20"/>
              </w:rPr>
              <w:t>АИИСКУЭ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должно обеспечивать выполнение следующих функций: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- управления видом главной схемы, а именно, управление степенями детализации и панорамированием схемы;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- управление способами отображения информации;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- управление окнами программы.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Интерфейс системы строится таким образом, чтобы ввод команд управления интерфейсом не мог привести к случайному закрытию либо перезагрузке приложений, а также к вызову команд других категорий.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Ввод команд управления интерфейсом «тонкого» клиента системой никак не ограничивается и в журнал событий не з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носится.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Команды управления системой должны обеспечивать выполнение следующих функций: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- начало и завершение сеансов работы, регистрация пользователей;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- генерацию и печать отчетов.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Для формирования отчетной формы оператор задает следующие данные: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- вид отчетной формы;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- период построения отчетной формы.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Каждый отчет должен формироваться по форме в соответствии с согласованным с Заказчиком видом.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601">
              <w:rPr>
                <w:rFonts w:ascii="Times New Roman" w:hAnsi="Times New Roman" w:cs="Times New Roman"/>
                <w:bCs/>
                <w:sz w:val="20"/>
                <w:szCs w:val="20"/>
              </w:rPr>
              <w:t>АИИСКУЭ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должна предоставлять две категории отчетов: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- отчеты </w:t>
            </w:r>
            <w:proofErr w:type="spellStart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веб-клиента</w:t>
            </w:r>
            <w:proofErr w:type="spellEnd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, формируемые по запросу оператора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- отчеты в формате 80020 XML, формируемые автоматически на сервере </w:t>
            </w:r>
            <w:r w:rsidRPr="00AD1601">
              <w:rPr>
                <w:rFonts w:ascii="Times New Roman" w:hAnsi="Times New Roman" w:cs="Times New Roman"/>
                <w:bCs/>
                <w:sz w:val="20"/>
                <w:szCs w:val="20"/>
              </w:rPr>
              <w:t>АИИСКУЭ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Суточные </w:t>
            </w:r>
            <w:proofErr w:type="spellStart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веб-отчеты</w:t>
            </w:r>
            <w:proofErr w:type="spellEnd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должны иметь сокращенную и полную формы. Сокращенная форма должна содержать сведения о точках учета (или группах точек учета),  данные по потреблению на начало и на конец периода, и данные по расходу.  Полные формы должны содержать детализацию отчетов.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Суточные </w:t>
            </w:r>
            <w:proofErr w:type="spellStart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веб-отчеты</w:t>
            </w:r>
            <w:proofErr w:type="spellEnd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должны содержать детализацию по 60-ти минутным срезам, месячные </w:t>
            </w:r>
            <w:proofErr w:type="spellStart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веб-отчеты</w:t>
            </w:r>
            <w:proofErr w:type="spellEnd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- по суточным срезам, годовые </w:t>
            </w:r>
            <w:proofErr w:type="spellStart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веб-отчеты</w:t>
            </w:r>
            <w:proofErr w:type="spellEnd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- по месячным срезам.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Отчеты в формате 80020 XML должны содержать детализацию по 30-минутным срезам. Сохранение файлов отчета в формате 80020 XML должно выполняться автоматически. При создании файла отчета ему автоматически присваиваются имя и директория хранения на жестком диске в соответствии с заданными атрибутами. При отсутствии или недостове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ности данных за отчетный период или за часть отчетного периода, отчет должен быть сформирован с соответствующим признаком недостоверности.</w:t>
            </w:r>
          </w:p>
          <w:p w:rsidR="00AD1601" w:rsidRPr="00AD1601" w:rsidRDefault="00804356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5" w:name="_Toc317751008"/>
            <w:bookmarkStart w:id="6" w:name="_Toc32052083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D1601" w:rsidRPr="00AD1601">
              <w:rPr>
                <w:rFonts w:ascii="Times New Roman" w:hAnsi="Times New Roman" w:cs="Times New Roman"/>
                <w:b/>
                <w:sz w:val="20"/>
                <w:szCs w:val="20"/>
              </w:rPr>
              <w:t>.3.2 Пуск и остановка системы</w:t>
            </w:r>
            <w:bookmarkEnd w:id="5"/>
            <w:bookmarkEnd w:id="6"/>
            <w:r w:rsidR="00AD1601" w:rsidRPr="00AD160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Предусматривается автоматический пуск всех элементов </w:t>
            </w:r>
            <w:r w:rsidRPr="00AD1601">
              <w:rPr>
                <w:rFonts w:ascii="Times New Roman" w:hAnsi="Times New Roman" w:cs="Times New Roman"/>
                <w:bCs/>
                <w:sz w:val="20"/>
                <w:szCs w:val="20"/>
              </w:rPr>
              <w:t>АИИСКУЭ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на сервере при подаче питания.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В системе не предусматривается никаких пользовательских настроек при пуске системы.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Функционирование системы предусматривается в безостановочном режиме, то есть останов системы, либо ее частей пользовательскими средствами не предусматривается. Вывод системы из работы осуществляется только обслуживающим персоналом.</w:t>
            </w:r>
          </w:p>
          <w:p w:rsidR="00AD1601" w:rsidRPr="00AD1601" w:rsidRDefault="00804356" w:rsidP="00AD1601">
            <w:pPr>
              <w:spacing w:after="0" w:line="240" w:lineRule="auto"/>
              <w:ind w:right="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D1601" w:rsidRPr="00AD1601">
              <w:rPr>
                <w:rFonts w:ascii="Times New Roman" w:hAnsi="Times New Roman" w:cs="Times New Roman"/>
                <w:b/>
                <w:sz w:val="20"/>
                <w:szCs w:val="20"/>
              </w:rPr>
              <w:t>.3.3 Вывод из работы и снятие с обслуживания отдельных контролируемых пунктов.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Вывод из работы отдельных элементов подсистем </w:t>
            </w:r>
            <w:r w:rsidRPr="00AD1601">
              <w:rPr>
                <w:rFonts w:ascii="Times New Roman" w:hAnsi="Times New Roman" w:cs="Times New Roman"/>
                <w:bCs/>
                <w:sz w:val="20"/>
                <w:szCs w:val="20"/>
              </w:rPr>
              <w:t>АИИС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601">
              <w:rPr>
                <w:rFonts w:ascii="Times New Roman" w:hAnsi="Times New Roman" w:cs="Times New Roman"/>
                <w:bCs/>
                <w:sz w:val="20"/>
                <w:szCs w:val="20"/>
              </w:rPr>
              <w:t>КУЭ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должен проводиться по оперативной заявке с разрешения диспетчера, в ведении которого они находятся.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Элементы, снятые с обслуживания должны при этом иметь соответствующую индикацию. Программные и аппаратные  средства должны исключать возможность прихода ложных сигналов от элементов, снятых с обслуживания.</w:t>
            </w:r>
          </w:p>
          <w:p w:rsidR="00AD1601" w:rsidRPr="00AD1601" w:rsidRDefault="00804356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D1601" w:rsidRPr="00AD16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.3.4 Вывод из работы </w:t>
            </w:r>
            <w:r w:rsidR="00AD1601" w:rsidRPr="00AD1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АИИСКУЭ.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Вывод системы из работы, в том числе и по утвержденному плану, должен быть оформлен внутренним распоряжением. При этом вывод системы из работы или ее испытание могут быть выполнены лишь с разрешения диспетчера непосредс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венно перед выводом из работы или перед проведением испытаний.</w:t>
            </w:r>
            <w:bookmarkStart w:id="7" w:name="_Toc392670564"/>
          </w:p>
          <w:p w:rsidR="00AD1601" w:rsidRPr="00AD1601" w:rsidRDefault="00804356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D1601" w:rsidRPr="00AD1601">
              <w:rPr>
                <w:rFonts w:ascii="Times New Roman" w:hAnsi="Times New Roman" w:cs="Times New Roman"/>
                <w:b/>
                <w:sz w:val="20"/>
                <w:szCs w:val="20"/>
              </w:rPr>
              <w:t>.3.5 Требования к подсистеме контроля достоверности результатов измерений</w:t>
            </w:r>
            <w:bookmarkEnd w:id="7"/>
            <w:r w:rsidR="00AD1601" w:rsidRPr="00AD160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построения </w:t>
            </w:r>
            <w:r w:rsidRPr="00AD1601">
              <w:rPr>
                <w:rFonts w:ascii="Times New Roman" w:hAnsi="Times New Roman" w:cs="Times New Roman"/>
                <w:bCs/>
                <w:sz w:val="20"/>
                <w:szCs w:val="20"/>
              </w:rPr>
              <w:t>АИИСКУЭ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процедуру контроля достоверности результатов измерений предусматривается реал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зовать проведением организационных мероприятий. Контроль достоверности должен осуществляться ответственным персоналом Заказчика путем анализа полноты предоставляемой информации, результатов измерений, состояния средств и объектов измерений.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полноты данных, полученных в результате измерений, заключается в проверке результатов измерений по с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ставу точек учета и групп точек, и выявления явных отклонений результатов измерений от нормальных режимов работы с использованием: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- эвристических методов контроля: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- технических пределов;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- режимных ограничений;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- периодической верификации (сравнения) данных.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Эвристические методы контроля достоверности результатов измерений и методы, использующие технические особенн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сти объекта измерений, должны быть основаны на субъективном опыте специалистов по контролю достоверности р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зультатов измерений.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качества данных, полученных в результате измерений, должен заключаться в проверке их достоверности на основе: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- избыточности результатов измерений, как по составу точек учета, так и по интервалам времени, включая: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- сравнения с другими видами информацией;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- статистических методов.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проверки результатов измерений за получасовые и часовые интервалы времени должны проводиться их сравнение с дополнительно получаемыми результатами измерений.</w:t>
            </w:r>
          </w:p>
          <w:p w:rsidR="00AD1601" w:rsidRPr="00804356" w:rsidRDefault="00804356" w:rsidP="00AD1601">
            <w:pPr>
              <w:pStyle w:val="1"/>
              <w:spacing w:before="40"/>
              <w:ind w:right="176"/>
              <w:jc w:val="both"/>
              <w:rPr>
                <w:b/>
                <w:sz w:val="20"/>
                <w:szCs w:val="20"/>
              </w:rPr>
            </w:pPr>
            <w:bookmarkStart w:id="8" w:name="_Toc392670565"/>
            <w:r>
              <w:rPr>
                <w:b/>
                <w:sz w:val="20"/>
                <w:szCs w:val="20"/>
              </w:rPr>
              <w:t>4</w:t>
            </w:r>
            <w:r w:rsidR="00AD1601" w:rsidRPr="00804356">
              <w:rPr>
                <w:b/>
                <w:sz w:val="20"/>
                <w:szCs w:val="20"/>
              </w:rPr>
              <w:t>.3.6 Требования к подсистеме мониторинга состояния АИИСКУЭ</w:t>
            </w:r>
            <w:bookmarkEnd w:id="8"/>
            <w:r w:rsidR="00AD1601" w:rsidRPr="00804356">
              <w:rPr>
                <w:b/>
                <w:sz w:val="20"/>
                <w:szCs w:val="20"/>
              </w:rPr>
              <w:t>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состояния </w:t>
            </w:r>
            <w:r w:rsidRPr="00AD1601">
              <w:rPr>
                <w:rFonts w:ascii="Times New Roman" w:hAnsi="Times New Roman" w:cs="Times New Roman"/>
                <w:bCs/>
                <w:sz w:val="20"/>
                <w:szCs w:val="20"/>
              </w:rPr>
              <w:t>АИИСКУЭ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предназначен для информационного обеспечения управления процессами функци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нирования Системы, включая: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- контроль состояния средств измерений (диагностика неисправностей);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- сбор служебной информации о состоянии сре</w:t>
            </w:r>
            <w:proofErr w:type="gramStart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дств сб</w:t>
            </w:r>
            <w:proofErr w:type="gramEnd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ора, обработки и передачи информации;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- контроль выполнения процесса сбора и передачи данных.</w:t>
            </w:r>
          </w:p>
          <w:p w:rsidR="00AD1601" w:rsidRPr="00804356" w:rsidRDefault="00804356" w:rsidP="00AD1601">
            <w:pPr>
              <w:pStyle w:val="1"/>
              <w:spacing w:before="40"/>
              <w:ind w:right="176"/>
              <w:jc w:val="both"/>
              <w:rPr>
                <w:b/>
                <w:sz w:val="20"/>
                <w:szCs w:val="20"/>
              </w:rPr>
            </w:pPr>
            <w:bookmarkStart w:id="9" w:name="_Toc392670566"/>
            <w:r w:rsidRPr="00804356">
              <w:rPr>
                <w:b/>
                <w:sz w:val="20"/>
                <w:szCs w:val="20"/>
              </w:rPr>
              <w:t>4</w:t>
            </w:r>
            <w:r w:rsidR="00AD1601" w:rsidRPr="00804356">
              <w:rPr>
                <w:b/>
                <w:sz w:val="20"/>
                <w:szCs w:val="20"/>
              </w:rPr>
              <w:t>.3.7 Требования к функциональной подсистеме передачи информации</w:t>
            </w:r>
            <w:bookmarkEnd w:id="9"/>
            <w:r w:rsidR="00AD1601" w:rsidRPr="00804356">
              <w:rPr>
                <w:b/>
                <w:sz w:val="20"/>
                <w:szCs w:val="20"/>
              </w:rPr>
              <w:t>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Разрабатываемая </w:t>
            </w:r>
            <w:r w:rsidRPr="00AD1601">
              <w:rPr>
                <w:rFonts w:ascii="Times New Roman" w:hAnsi="Times New Roman" w:cs="Times New Roman"/>
                <w:bCs/>
                <w:sz w:val="20"/>
                <w:szCs w:val="20"/>
              </w:rPr>
              <w:t>АИИС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601">
              <w:rPr>
                <w:rFonts w:ascii="Times New Roman" w:hAnsi="Times New Roman" w:cs="Times New Roman"/>
                <w:bCs/>
                <w:sz w:val="20"/>
                <w:szCs w:val="20"/>
              </w:rPr>
              <w:t>КУЭ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должна иметь возможность производить обмен данными между Системой и сторонними ниже и вышестоящими системами в автоматическом режиме и автоматизированном по запросу со стороны вышестоящ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го уровня с предоставлением: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- данных технического учета;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- данных о состоянии средств измерений;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- дополнительной системной информации.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Обмен должен быть реализован на основе протоколов </w:t>
            </w:r>
            <w:proofErr w:type="spellStart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EcoStruxure</w:t>
            </w:r>
            <w:proofErr w:type="spellEnd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Services</w:t>
            </w:r>
            <w:proofErr w:type="spellEnd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, OPC и SQL.</w:t>
            </w:r>
          </w:p>
          <w:p w:rsidR="00AD1601" w:rsidRPr="00804356" w:rsidRDefault="00804356" w:rsidP="00AD1601">
            <w:pPr>
              <w:pStyle w:val="1"/>
              <w:spacing w:before="40"/>
              <w:ind w:right="176"/>
              <w:jc w:val="both"/>
              <w:rPr>
                <w:b/>
                <w:sz w:val="20"/>
                <w:szCs w:val="20"/>
              </w:rPr>
            </w:pPr>
            <w:bookmarkStart w:id="10" w:name="_Toc56238752"/>
            <w:bookmarkStart w:id="11" w:name="_Toc145990606"/>
            <w:bookmarkStart w:id="12" w:name="_Toc145991385"/>
            <w:bookmarkStart w:id="13" w:name="_Toc352957202"/>
            <w:bookmarkStart w:id="14" w:name="_Toc392670567"/>
            <w:r>
              <w:rPr>
                <w:b/>
                <w:sz w:val="20"/>
                <w:szCs w:val="20"/>
              </w:rPr>
              <w:t>4</w:t>
            </w:r>
            <w:r w:rsidR="00AD1601" w:rsidRPr="00804356">
              <w:rPr>
                <w:b/>
                <w:sz w:val="20"/>
                <w:szCs w:val="20"/>
              </w:rPr>
              <w:t>.3.8 Требования к источникам питания</w:t>
            </w:r>
            <w:bookmarkEnd w:id="10"/>
            <w:bookmarkEnd w:id="11"/>
            <w:bookmarkEnd w:id="12"/>
            <w:bookmarkEnd w:id="13"/>
            <w:bookmarkEnd w:id="14"/>
            <w:r w:rsidR="00AD1601" w:rsidRPr="00804356">
              <w:rPr>
                <w:b/>
                <w:sz w:val="20"/>
                <w:szCs w:val="20"/>
              </w:rPr>
              <w:t>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Должно быть предусмотрено электропитание системы от сети собственных нужд напряжением 220</w:t>
            </w:r>
            <w:proofErr w:type="gramStart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50 Гц переменного тока.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Система должна правильно функционировать при изменении оперативного напряжения в пределах +10% и -10% от н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минального, в том числе при наличии переменной составляющей в постоянном токе, имеющей частоту 100 Гц до 12% номинального значения.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Функционирование системы в условиях полного исчезновения питания должно осуществляться от источников беспер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бойного питания (ИБП). ИБП должен поддерживать протокол SNMP и обеспечивать питание системы в течение не менее 0,5 часа.</w:t>
            </w:r>
          </w:p>
          <w:p w:rsidR="00AD1601" w:rsidRPr="00AD1601" w:rsidRDefault="00AD1601" w:rsidP="00AD1601">
            <w:pPr>
              <w:pStyle w:val="1"/>
              <w:spacing w:before="40"/>
              <w:ind w:right="176"/>
              <w:jc w:val="both"/>
              <w:rPr>
                <w:sz w:val="20"/>
                <w:szCs w:val="20"/>
              </w:rPr>
            </w:pPr>
            <w:bookmarkStart w:id="15" w:name="_Toc352957203"/>
            <w:bookmarkStart w:id="16" w:name="_Toc392670568"/>
            <w:r w:rsidRPr="00AD1601">
              <w:rPr>
                <w:sz w:val="20"/>
                <w:szCs w:val="20"/>
              </w:rPr>
              <w:t>5.3.9 Показатели назначения, требования к быстродействию и системе единого времени</w:t>
            </w:r>
            <w:bookmarkEnd w:id="15"/>
            <w:bookmarkEnd w:id="16"/>
            <w:r w:rsidRPr="00AD1601">
              <w:rPr>
                <w:sz w:val="20"/>
                <w:szCs w:val="20"/>
              </w:rPr>
              <w:t>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Программно-технические средства </w:t>
            </w:r>
            <w:r w:rsidRPr="00AD1601">
              <w:rPr>
                <w:rFonts w:ascii="Times New Roman" w:hAnsi="Times New Roman" w:cs="Times New Roman"/>
                <w:bCs/>
                <w:sz w:val="20"/>
                <w:szCs w:val="20"/>
              </w:rPr>
              <w:t>АИИСКУЭ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должны обеспечивать следующие основные временные характеристики выполнения функций: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- сбор информации на верхний уровень в цикле регулярного опроса - в соответствии с </w:t>
            </w:r>
            <w:proofErr w:type="spellStart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востребованностью</w:t>
            </w:r>
            <w:proofErr w:type="spellEnd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информации, но не чаще чем 10 сек;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- цикл смены данных на мониторе оператора - не более 30 сек;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- вызов </w:t>
            </w:r>
            <w:proofErr w:type="spellStart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мнемокадра</w:t>
            </w:r>
            <w:proofErr w:type="spellEnd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- не более 10 сек;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Хранение ретроспективной (архивной) информации в базе данных MS SQL: не менее 0.5 года с возможностью подкл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чения более старых архивов с резервных носителей.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В системе должна быть предусмотрена система единого времени, которая должна обеспечивать синхронизацию всех компонентов </w:t>
            </w:r>
            <w:r w:rsidRPr="00AD1601">
              <w:rPr>
                <w:rFonts w:ascii="Times New Roman" w:hAnsi="Times New Roman" w:cs="Times New Roman"/>
                <w:bCs/>
                <w:sz w:val="20"/>
                <w:szCs w:val="20"/>
              </w:rPr>
              <w:t>АИИСКУЭ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, поддерживающих внутренние часы. Погрешность привязки событий к государственной шкале единого времени должна быть не более 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sym w:font="Symbol" w:char="F0B1"/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1 минуты.</w:t>
            </w:r>
            <w:bookmarkStart w:id="17" w:name="_Toc67293749"/>
            <w:bookmarkStart w:id="18" w:name="_Toc67795399"/>
            <w:bookmarkStart w:id="19" w:name="_Toc67799678"/>
            <w:bookmarkStart w:id="20" w:name="_Toc67818340"/>
            <w:bookmarkStart w:id="21" w:name="_Toc67293750"/>
            <w:bookmarkStart w:id="22" w:name="_Toc67795400"/>
            <w:bookmarkStart w:id="23" w:name="_Toc67799679"/>
            <w:bookmarkStart w:id="24" w:name="_Toc67818341"/>
            <w:bookmarkStart w:id="25" w:name="_Toc67293751"/>
            <w:bookmarkStart w:id="26" w:name="_Toc67795401"/>
            <w:bookmarkStart w:id="27" w:name="_Toc67799680"/>
            <w:bookmarkStart w:id="28" w:name="_Toc67818342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</w:p>
          <w:p w:rsidR="00AD1601" w:rsidRPr="00804356" w:rsidRDefault="00804356" w:rsidP="00AD1601">
            <w:pPr>
              <w:pStyle w:val="1"/>
              <w:spacing w:before="40"/>
              <w:ind w:right="176"/>
              <w:jc w:val="both"/>
              <w:rPr>
                <w:b/>
                <w:sz w:val="20"/>
                <w:szCs w:val="20"/>
              </w:rPr>
            </w:pPr>
            <w:bookmarkStart w:id="29" w:name="_Toc352957204"/>
            <w:bookmarkStart w:id="30" w:name="_Toc392670569"/>
            <w:r w:rsidRPr="00804356">
              <w:rPr>
                <w:b/>
                <w:sz w:val="20"/>
                <w:szCs w:val="20"/>
              </w:rPr>
              <w:t>4</w:t>
            </w:r>
            <w:r w:rsidR="00AD1601" w:rsidRPr="00804356">
              <w:rPr>
                <w:b/>
                <w:sz w:val="20"/>
                <w:szCs w:val="20"/>
              </w:rPr>
              <w:t>.3.10 Требования к надежности</w:t>
            </w:r>
            <w:bookmarkEnd w:id="29"/>
            <w:bookmarkEnd w:id="30"/>
            <w:r w:rsidR="00AD1601" w:rsidRPr="00804356">
              <w:rPr>
                <w:b/>
                <w:sz w:val="20"/>
                <w:szCs w:val="20"/>
              </w:rPr>
              <w:t>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601">
              <w:rPr>
                <w:rFonts w:ascii="Times New Roman" w:hAnsi="Times New Roman" w:cs="Times New Roman"/>
                <w:bCs/>
                <w:sz w:val="20"/>
                <w:szCs w:val="20"/>
              </w:rPr>
              <w:t>АИИСКУЭ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должна функционировать в непрерывном режиме.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Функциональный срок службы системы - не менее 10 лет.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Среднее время восстановления работоспособного состояния системы - не более 3 ч (без учета доставки и установки </w:t>
            </w:r>
            <w:proofErr w:type="spellStart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  <w:proofErr w:type="spellEnd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AD1601" w:rsidRPr="00804356" w:rsidRDefault="00804356" w:rsidP="00AD1601">
            <w:pPr>
              <w:pStyle w:val="1"/>
              <w:spacing w:before="40"/>
              <w:ind w:right="176"/>
              <w:jc w:val="both"/>
              <w:rPr>
                <w:b/>
                <w:sz w:val="20"/>
                <w:szCs w:val="20"/>
              </w:rPr>
            </w:pPr>
            <w:bookmarkStart w:id="31" w:name="_Toc352957205"/>
            <w:bookmarkStart w:id="32" w:name="_Toc392670570"/>
            <w:r w:rsidRPr="00804356">
              <w:rPr>
                <w:b/>
                <w:sz w:val="20"/>
                <w:szCs w:val="20"/>
              </w:rPr>
              <w:t>4</w:t>
            </w:r>
            <w:r w:rsidR="00AD1601" w:rsidRPr="00804356">
              <w:rPr>
                <w:b/>
                <w:sz w:val="20"/>
                <w:szCs w:val="20"/>
              </w:rPr>
              <w:t>.3.11 Требования к безопасности</w:t>
            </w:r>
            <w:bookmarkEnd w:id="31"/>
            <w:bookmarkEnd w:id="32"/>
            <w:r w:rsidR="00AD1601" w:rsidRPr="00804356">
              <w:rPr>
                <w:b/>
                <w:sz w:val="20"/>
                <w:szCs w:val="20"/>
              </w:rPr>
              <w:t>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Компоновки составных частей систем должны обеспечивать свободный доступ к ним для монтажа, наладки, замены или ремонта.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По способу защиты человека от поражения электрическим током технические средства систем, находящиеся под напр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жением, должны быть защищены от случайного прикосновения к ним обслуживающего персонала, а сами технические средства должны подлежать защитному заземлению согласно ГОСТ 12.1.030-81. Места подключения защитного заземл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ния должны располагаться на видном месте и четко обозначаться. Требования защиты человека от поражения электрич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ским током должны выполняться в соответствии с ГОСТ 12.2.007-75.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Конструкция, монтаж и правила (инструкции) эксплуатации систем должны соответствовать требованиям «Правил ус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ройства электроустановок» (ПУЭ), «Правил технической эксплуатации электроустановок потребителей» применительно к конкретному исполнению системы.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Уровень шума, создаваемый техническими средствами систем, не должен превышать в местах расположения обслуж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вающего персонала значений, указанных в ГОСТ 2.003-83. Уровень шума измеряется в соответствии с требованиями ГОСТ 2.050-86.</w:t>
            </w:r>
          </w:p>
          <w:p w:rsidR="00AD1601" w:rsidRPr="00804356" w:rsidRDefault="00804356" w:rsidP="00AD1601">
            <w:pPr>
              <w:pStyle w:val="1"/>
              <w:spacing w:before="40"/>
              <w:ind w:right="176"/>
              <w:jc w:val="both"/>
              <w:rPr>
                <w:b/>
                <w:sz w:val="20"/>
                <w:szCs w:val="20"/>
              </w:rPr>
            </w:pPr>
            <w:bookmarkStart w:id="33" w:name="_Toc56238759"/>
            <w:bookmarkStart w:id="34" w:name="_Toc145990613"/>
            <w:bookmarkStart w:id="35" w:name="_Toc145991392"/>
            <w:bookmarkStart w:id="36" w:name="_Toc352957207"/>
            <w:bookmarkStart w:id="37" w:name="_Toc392670572"/>
            <w:r w:rsidRPr="00804356">
              <w:rPr>
                <w:b/>
                <w:sz w:val="20"/>
                <w:szCs w:val="20"/>
              </w:rPr>
              <w:t>4</w:t>
            </w:r>
            <w:r w:rsidR="00AD1601" w:rsidRPr="00804356">
              <w:rPr>
                <w:b/>
                <w:sz w:val="20"/>
                <w:szCs w:val="20"/>
              </w:rPr>
              <w:t>.3.12 Требования по сохранности информации при авариях</w:t>
            </w:r>
            <w:bookmarkEnd w:id="33"/>
            <w:bookmarkEnd w:id="34"/>
            <w:bookmarkEnd w:id="35"/>
            <w:bookmarkEnd w:id="36"/>
            <w:bookmarkEnd w:id="37"/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8" w:name="_Toc528558287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Система не должна давать ложных команд управления при снятии и подаче оперативного тока, при снижении напряж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ния оперативного тока ниже 20%, а также при замыканиях на землю в цепях оперативного тока.</w:t>
            </w:r>
            <w:bookmarkEnd w:id="38"/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9" w:name="_Toc528558288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Система должна сохранять все виды информации (текущую, оперативную, архивную) при тяжелых авариях, сопрово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дающихся одновременным снятием постоянного и переменного тока питания системы.</w:t>
            </w:r>
            <w:bookmarkEnd w:id="39"/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0" w:name="_Toc528558289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Функционирование системы в условиях полного исчезновения питания должно осуществляться от источников беспер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бойного питания должен обеспечивать питание системы в течение не менее 0,5 часа.</w:t>
            </w:r>
            <w:bookmarkEnd w:id="40"/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Информация об аварийных ситуациях в ПТК должна автоматически отображаться на дисплеях АРМ, а также запис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ваться и храниться на жестких дисках.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При отказах локальной сети данных компоненты </w:t>
            </w:r>
            <w:r w:rsidRPr="00AD1601">
              <w:rPr>
                <w:rFonts w:ascii="Times New Roman" w:hAnsi="Times New Roman" w:cs="Times New Roman"/>
                <w:bCs/>
                <w:sz w:val="20"/>
                <w:szCs w:val="20"/>
              </w:rPr>
              <w:t>АИИСКУЭ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должны функционировать нормально в автономном реж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ме. После восстановления работоспособности локальной сети должен автоматически восстанавливаться обмен информ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цией.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При отказах накопителей на жестких магнитных дисках на АРМ оператора и сервере должна быть предусмотрена проц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дура восстановления </w:t>
            </w:r>
            <w:proofErr w:type="gramStart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образов системы.</w:t>
            </w:r>
            <w:bookmarkStart w:id="41" w:name="_Toc105922444"/>
            <w:bookmarkStart w:id="42" w:name="_Toc352957208"/>
            <w:bookmarkStart w:id="43" w:name="_Toc392670573"/>
          </w:p>
          <w:p w:rsidR="00AD1601" w:rsidRPr="00804356" w:rsidRDefault="00804356" w:rsidP="00AD1601">
            <w:pPr>
              <w:pStyle w:val="1"/>
              <w:spacing w:before="40"/>
              <w:ind w:right="176"/>
              <w:jc w:val="both"/>
              <w:rPr>
                <w:b/>
                <w:sz w:val="20"/>
                <w:szCs w:val="20"/>
              </w:rPr>
            </w:pPr>
            <w:bookmarkStart w:id="44" w:name="_Toc105922445"/>
            <w:bookmarkStart w:id="45" w:name="_Toc325533515"/>
            <w:bookmarkStart w:id="46" w:name="_Toc325536764"/>
            <w:bookmarkStart w:id="47" w:name="_Toc352957209"/>
            <w:bookmarkStart w:id="48" w:name="_Toc392670574"/>
            <w:bookmarkEnd w:id="41"/>
            <w:bookmarkEnd w:id="42"/>
            <w:bookmarkEnd w:id="43"/>
            <w:r w:rsidRPr="00804356">
              <w:rPr>
                <w:b/>
                <w:sz w:val="20"/>
                <w:szCs w:val="20"/>
              </w:rPr>
              <w:t>4</w:t>
            </w:r>
            <w:r w:rsidR="00AD1601" w:rsidRPr="00804356">
              <w:rPr>
                <w:b/>
                <w:sz w:val="20"/>
                <w:szCs w:val="20"/>
              </w:rPr>
              <w:t>.3.13 Математическое обеспечение</w:t>
            </w:r>
            <w:bookmarkEnd w:id="44"/>
            <w:bookmarkEnd w:id="45"/>
            <w:bookmarkEnd w:id="46"/>
            <w:bookmarkEnd w:id="47"/>
            <w:bookmarkEnd w:id="48"/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Математическое обеспечение системы </w:t>
            </w:r>
            <w:r w:rsidRPr="00AD1601">
              <w:rPr>
                <w:rFonts w:ascii="Times New Roman" w:hAnsi="Times New Roman" w:cs="Times New Roman"/>
                <w:bCs/>
                <w:sz w:val="20"/>
                <w:szCs w:val="20"/>
              </w:rPr>
              <w:t>АИИСКУЭ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содержит: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-алгоритмы общего назначения, обеспечивающие организацию локальных вычислительных процессов и первичную о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работку информации, а также взаимодействие локальных вычислительных процессов при использовании сетевых ресу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сов;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специализированные алгоритмы, обеспечивающие решение прикладных задач.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- Математические методы и алгоритмы, используемые в </w:t>
            </w:r>
            <w:r w:rsidRPr="00AD1601">
              <w:rPr>
                <w:rFonts w:ascii="Times New Roman" w:hAnsi="Times New Roman" w:cs="Times New Roman"/>
                <w:bCs/>
                <w:sz w:val="20"/>
                <w:szCs w:val="20"/>
              </w:rPr>
              <w:t>АИИСКУЭ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, обеспечивают эффективное решение задач монит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ринга, контроля, регулирования, управления и защиты технологического оборудования в штатном режиме работы и при возникновении аварийных ситуаций.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- В состав математического обеспечения системы должны входить алгоритмы, реализующие следующие возможности: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- сбор и обработка данных </w:t>
            </w:r>
            <w:proofErr w:type="gramStart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счетчиков электрической энергии;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- расчет интегральных и средних значений технологических переменных;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- расчёт потребления электроэнергии в заданный промежуток времени.</w:t>
            </w:r>
          </w:p>
          <w:p w:rsidR="00AD1601" w:rsidRPr="00804356" w:rsidRDefault="00804356" w:rsidP="00AD1601">
            <w:pPr>
              <w:pStyle w:val="1"/>
              <w:spacing w:before="40"/>
              <w:ind w:right="176"/>
              <w:jc w:val="both"/>
              <w:rPr>
                <w:b/>
                <w:sz w:val="20"/>
                <w:szCs w:val="20"/>
              </w:rPr>
            </w:pPr>
            <w:bookmarkStart w:id="49" w:name="_Toc105922446"/>
            <w:bookmarkStart w:id="50" w:name="_Toc325533516"/>
            <w:bookmarkStart w:id="51" w:name="_Toc325536765"/>
            <w:bookmarkStart w:id="52" w:name="_Toc352957210"/>
            <w:bookmarkStart w:id="53" w:name="_Toc392670575"/>
            <w:r w:rsidRPr="00804356">
              <w:rPr>
                <w:b/>
                <w:sz w:val="20"/>
                <w:szCs w:val="20"/>
              </w:rPr>
              <w:t>4</w:t>
            </w:r>
            <w:r w:rsidR="00AD1601" w:rsidRPr="00804356">
              <w:rPr>
                <w:b/>
                <w:sz w:val="20"/>
                <w:szCs w:val="20"/>
              </w:rPr>
              <w:t>.3.14 Информационное обеспечение</w:t>
            </w:r>
            <w:bookmarkEnd w:id="49"/>
            <w:bookmarkEnd w:id="50"/>
            <w:bookmarkEnd w:id="51"/>
            <w:bookmarkEnd w:id="52"/>
            <w:bookmarkEnd w:id="53"/>
            <w:r w:rsidR="00AD1601" w:rsidRPr="00804356">
              <w:rPr>
                <w:b/>
                <w:sz w:val="20"/>
                <w:szCs w:val="20"/>
              </w:rPr>
              <w:t>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Структура представления и форма описания информационной модели каждой подсистемы должны однозначно опред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лять существо информационных процессов в объектах управления.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В состав информационных массивов данных должны входить: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- данные по эксплуатации всего комплекса оборудования, включая информацию по состоянию оборудования (ИБП, ко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мутаторы, сервер единого времени, контроллер);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- файлы и таблицы настройки программных комплексов и компонентов;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- библиотеки представления динамической, ретроспективной и отчетной информации;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- нормативная, информационная и справочная документация.</w:t>
            </w:r>
          </w:p>
          <w:p w:rsidR="00AD1601" w:rsidRPr="00804356" w:rsidRDefault="00804356" w:rsidP="00AD1601">
            <w:pPr>
              <w:pStyle w:val="1"/>
              <w:spacing w:before="40"/>
              <w:ind w:right="176"/>
              <w:jc w:val="both"/>
              <w:rPr>
                <w:b/>
                <w:sz w:val="20"/>
                <w:szCs w:val="20"/>
              </w:rPr>
            </w:pPr>
            <w:bookmarkStart w:id="54" w:name="_Toc352957211"/>
            <w:bookmarkStart w:id="55" w:name="_Toc392670576"/>
            <w:r w:rsidRPr="00804356">
              <w:rPr>
                <w:b/>
                <w:sz w:val="20"/>
                <w:szCs w:val="20"/>
              </w:rPr>
              <w:t>4</w:t>
            </w:r>
            <w:r w:rsidR="00AD1601" w:rsidRPr="00804356">
              <w:rPr>
                <w:b/>
                <w:sz w:val="20"/>
                <w:szCs w:val="20"/>
              </w:rPr>
              <w:t>.3.15 Защита информации</w:t>
            </w:r>
            <w:bookmarkEnd w:id="54"/>
            <w:bookmarkEnd w:id="55"/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Программно-технические средства системы по условиям функционирования должны обеспечивать: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- защиту информации от несанкционированного доступа;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- сохранность информации в процессе ее хранения на машинных носителях.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Защищенность информации от несанкционированного доступа должна организовываться программно-аппаратными средствами защиты, которые обеспечивают: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- гарантированное разграничение доступа к информации (по уровням ответственности);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- регистрацию событий, имеющих отношение к защищенности информации;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- доступ только после предъявления идентификатора и личного пароля.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Защита информации от несанкционированного доступа должна обеспечиваться: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- с помощью системы паролей, которые проверяются программным обеспечением при попытке записи, коррекции или удаления информации;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- средствами защиты от внешних вторжений, в том числе механическими запорами на шкафах.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Для обеспечения сохранности информации в процессе ее хранения необходимо выполнять периодическое ручное коп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рование информации на резервные носители.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Права доступа и обязанности каждого оператора системы уточняются в процессе выполнения рабочей документации системы по согласованию с Заказчиком.</w:t>
            </w:r>
          </w:p>
          <w:p w:rsidR="00AD1601" w:rsidRPr="00804356" w:rsidRDefault="00804356" w:rsidP="00AD1601">
            <w:pPr>
              <w:pStyle w:val="1"/>
              <w:spacing w:before="40"/>
              <w:ind w:right="176"/>
              <w:jc w:val="both"/>
              <w:rPr>
                <w:b/>
                <w:sz w:val="20"/>
                <w:szCs w:val="20"/>
              </w:rPr>
            </w:pPr>
            <w:bookmarkStart w:id="56" w:name="_Toc352957212"/>
            <w:bookmarkStart w:id="57" w:name="_Toc392670577"/>
            <w:r w:rsidRPr="00804356">
              <w:rPr>
                <w:b/>
                <w:sz w:val="20"/>
                <w:szCs w:val="20"/>
              </w:rPr>
              <w:t>4</w:t>
            </w:r>
            <w:r w:rsidR="00AD1601" w:rsidRPr="00804356">
              <w:rPr>
                <w:b/>
                <w:sz w:val="20"/>
                <w:szCs w:val="20"/>
              </w:rPr>
              <w:t>.3.16 Организация баз данных</w:t>
            </w:r>
            <w:bookmarkEnd w:id="56"/>
            <w:bookmarkEnd w:id="57"/>
            <w:r w:rsidR="00AD1601" w:rsidRPr="00804356">
              <w:rPr>
                <w:b/>
                <w:sz w:val="20"/>
                <w:szCs w:val="20"/>
              </w:rPr>
              <w:t>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Основу информационного обеспечения должна составлять общая база данных, структура которой предусматривает хр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нение перечисленных выше информационных массивов в виде оперативной и архивной информации. Доступ на чтение информации, хранящейся в базе данных, осуществляется через сервер хранения данных и допускается с клиента </w:t>
            </w:r>
            <w:r w:rsidRPr="00AD1601">
              <w:rPr>
                <w:rFonts w:ascii="Times New Roman" w:hAnsi="Times New Roman" w:cs="Times New Roman"/>
                <w:bCs/>
                <w:sz w:val="20"/>
                <w:szCs w:val="20"/>
              </w:rPr>
              <w:t>АИ</w:t>
            </w:r>
            <w:r w:rsidRPr="00AD1601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D1601">
              <w:rPr>
                <w:rFonts w:ascii="Times New Roman" w:hAnsi="Times New Roman" w:cs="Times New Roman"/>
                <w:bCs/>
                <w:sz w:val="20"/>
                <w:szCs w:val="20"/>
              </w:rPr>
              <w:t>СКУЭ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. Вся информация по системе классификации и кодирования сведена в общую базу данных.</w:t>
            </w:r>
          </w:p>
          <w:p w:rsidR="00AD1601" w:rsidRPr="00804356" w:rsidRDefault="00804356" w:rsidP="00AD1601">
            <w:pPr>
              <w:pStyle w:val="1"/>
              <w:spacing w:before="40"/>
              <w:ind w:right="176"/>
              <w:jc w:val="both"/>
              <w:rPr>
                <w:b/>
                <w:sz w:val="20"/>
                <w:szCs w:val="20"/>
              </w:rPr>
            </w:pPr>
            <w:bookmarkStart w:id="58" w:name="_Toc392670578"/>
            <w:r w:rsidRPr="00804356">
              <w:rPr>
                <w:b/>
                <w:sz w:val="20"/>
                <w:szCs w:val="20"/>
              </w:rPr>
              <w:t>4</w:t>
            </w:r>
            <w:r w:rsidR="00AD1601" w:rsidRPr="00804356">
              <w:rPr>
                <w:b/>
                <w:sz w:val="20"/>
                <w:szCs w:val="20"/>
              </w:rPr>
              <w:t>.3.17 Требования к защите  данных  от  разрушений при авариях и сбоях в электропитании системы</w:t>
            </w:r>
            <w:bookmarkEnd w:id="58"/>
            <w:r w:rsidR="00AD1601" w:rsidRPr="00804356">
              <w:rPr>
                <w:b/>
                <w:sz w:val="20"/>
                <w:szCs w:val="20"/>
              </w:rPr>
              <w:t>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В целях защиты информации от разрушения при авариях и сбоях в электропитании объекта должно быть предусмотрено регламентом периодическое ручное копирование базы данных на внешние носители.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На клиентах </w:t>
            </w:r>
            <w:r w:rsidRPr="00AD1601">
              <w:rPr>
                <w:rFonts w:ascii="Times New Roman" w:hAnsi="Times New Roman" w:cs="Times New Roman"/>
                <w:bCs/>
                <w:sz w:val="20"/>
                <w:szCs w:val="20"/>
              </w:rPr>
              <w:t>АИИСКУЭ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средствами используемого ПО обеспечивается защита информации от несанкционированного доступа, ограничивающая доступ различных пользователей системы управления в зависимости от их должностных по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номочий.</w:t>
            </w:r>
            <w:proofErr w:type="gramEnd"/>
          </w:p>
          <w:p w:rsidR="00AD1601" w:rsidRPr="00804356" w:rsidRDefault="00804356" w:rsidP="00AD1601">
            <w:pPr>
              <w:pStyle w:val="1"/>
              <w:spacing w:before="40"/>
              <w:ind w:right="176"/>
              <w:jc w:val="both"/>
              <w:rPr>
                <w:b/>
                <w:sz w:val="20"/>
                <w:szCs w:val="20"/>
              </w:rPr>
            </w:pPr>
            <w:bookmarkStart w:id="59" w:name="_Toc105922447"/>
            <w:bookmarkStart w:id="60" w:name="_Toc325533517"/>
            <w:bookmarkStart w:id="61" w:name="_Toc325536766"/>
            <w:bookmarkStart w:id="62" w:name="_Toc352957213"/>
            <w:bookmarkStart w:id="63" w:name="_Toc392670579"/>
            <w:r w:rsidRPr="00804356">
              <w:rPr>
                <w:b/>
                <w:sz w:val="20"/>
                <w:szCs w:val="20"/>
              </w:rPr>
              <w:t>4</w:t>
            </w:r>
            <w:r w:rsidR="00AD1601" w:rsidRPr="00804356">
              <w:rPr>
                <w:b/>
                <w:sz w:val="20"/>
                <w:szCs w:val="20"/>
              </w:rPr>
              <w:t>.3.18 Требования к программному обеспечени</w:t>
            </w:r>
            <w:bookmarkEnd w:id="59"/>
            <w:r w:rsidR="00AD1601" w:rsidRPr="00804356">
              <w:rPr>
                <w:b/>
                <w:sz w:val="20"/>
                <w:szCs w:val="20"/>
              </w:rPr>
              <w:t>ю</w:t>
            </w:r>
            <w:bookmarkEnd w:id="60"/>
            <w:bookmarkEnd w:id="61"/>
            <w:bookmarkEnd w:id="62"/>
            <w:bookmarkEnd w:id="63"/>
            <w:r w:rsidR="00AD1601" w:rsidRPr="00804356">
              <w:rPr>
                <w:b/>
                <w:sz w:val="20"/>
                <w:szCs w:val="20"/>
              </w:rPr>
              <w:t>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Программное обеспечение </w:t>
            </w:r>
            <w:r w:rsidRPr="00AD1601">
              <w:rPr>
                <w:rFonts w:ascii="Times New Roman" w:hAnsi="Times New Roman" w:cs="Times New Roman"/>
                <w:bCs/>
                <w:sz w:val="20"/>
                <w:szCs w:val="20"/>
              </w:rPr>
              <w:t>АИИСКУЭ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является достаточным для реализации всех функций системы и построено на компонентах </w:t>
            </w:r>
            <w:proofErr w:type="spellStart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StruxureWare</w:t>
            </w:r>
            <w:proofErr w:type="spellEnd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Программное обеспечение отвечать следующим требованиям: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-надежность;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адаптируемость</w:t>
            </w:r>
            <w:proofErr w:type="spellEnd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настраиваемость</w:t>
            </w:r>
            <w:proofErr w:type="spellEnd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- модифицируемость;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масштабируемость</w:t>
            </w:r>
            <w:proofErr w:type="spellEnd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- модульность построения;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- поддержка архитектуры клиент-сервер;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- удобство применения;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- иметь </w:t>
            </w:r>
            <w:proofErr w:type="spellStart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и англоязычный интерфейс.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Программное обеспечение должно быть построено таким образом, что отсутствие отдельных данных не сказывается на выполнении функций системы, при реализации которых эти данные не используются.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В составе программного обеспечения должны быть предусмотрены программы, реализующие функции диагностики те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нических средств </w:t>
            </w:r>
            <w:r w:rsidRPr="00AD1601">
              <w:rPr>
                <w:rFonts w:ascii="Times New Roman" w:hAnsi="Times New Roman" w:cs="Times New Roman"/>
                <w:bCs/>
                <w:sz w:val="20"/>
                <w:szCs w:val="20"/>
              </w:rPr>
              <w:t>АИИСКУЭ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и контроля на достоверность входной информации.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Все ПО, применяемое в составе системы, поставляется с комплектами лицензий, соответствующими числу ПК, на кот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рых предполагается устанавливать поставляемые программные пакеты.</w:t>
            </w:r>
            <w:proofErr w:type="gramEnd"/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Техническая документация на программное обеспечение поставляется на русском языке.</w:t>
            </w:r>
          </w:p>
          <w:p w:rsidR="00AD1601" w:rsidRPr="00804356" w:rsidRDefault="00804356" w:rsidP="00AD1601">
            <w:pPr>
              <w:pStyle w:val="1"/>
              <w:spacing w:before="40"/>
              <w:ind w:right="176"/>
              <w:jc w:val="both"/>
              <w:rPr>
                <w:b/>
                <w:sz w:val="20"/>
                <w:szCs w:val="20"/>
              </w:rPr>
            </w:pPr>
            <w:bookmarkStart w:id="64" w:name="_Toc105922448"/>
            <w:bookmarkStart w:id="65" w:name="_Toc325533518"/>
            <w:bookmarkStart w:id="66" w:name="_Toc325536767"/>
            <w:bookmarkStart w:id="67" w:name="_Toc352957214"/>
            <w:bookmarkStart w:id="68" w:name="_Toc392670580"/>
            <w:r w:rsidRPr="00804356">
              <w:rPr>
                <w:b/>
                <w:sz w:val="20"/>
                <w:szCs w:val="20"/>
              </w:rPr>
              <w:t>4</w:t>
            </w:r>
            <w:r w:rsidR="00AD1601" w:rsidRPr="00804356">
              <w:rPr>
                <w:b/>
                <w:sz w:val="20"/>
                <w:szCs w:val="20"/>
              </w:rPr>
              <w:t>.3.19 Техническое  обеспечение</w:t>
            </w:r>
            <w:bookmarkEnd w:id="64"/>
            <w:bookmarkEnd w:id="65"/>
            <w:bookmarkEnd w:id="66"/>
            <w:bookmarkEnd w:id="67"/>
            <w:bookmarkEnd w:id="68"/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 технических средств (КТС) должен состоять из унифицированных компонентов, обеспечивающих реализацию функций </w:t>
            </w:r>
            <w:r w:rsidRPr="00AD1601">
              <w:rPr>
                <w:rFonts w:ascii="Times New Roman" w:hAnsi="Times New Roman" w:cs="Times New Roman"/>
                <w:bCs/>
                <w:sz w:val="20"/>
                <w:szCs w:val="20"/>
              </w:rPr>
              <w:t>АИИСКУЭ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в полном объеме.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Структура КТС строится по блочно-модульному принципу, что позволяет расширять функциональные возможности си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темы путем наращивания дополнительных технических средств без внесения существенных изменений в установленное оборудование.</w:t>
            </w:r>
          </w:p>
          <w:p w:rsidR="00AD1601" w:rsidRPr="00804356" w:rsidRDefault="00804356" w:rsidP="00AD1601">
            <w:pPr>
              <w:pStyle w:val="1"/>
              <w:spacing w:before="40"/>
              <w:ind w:right="176"/>
              <w:jc w:val="both"/>
              <w:rPr>
                <w:b/>
                <w:sz w:val="20"/>
                <w:szCs w:val="20"/>
              </w:rPr>
            </w:pPr>
            <w:bookmarkStart w:id="69" w:name="_Toc105922449"/>
            <w:bookmarkStart w:id="70" w:name="_Toc325533519"/>
            <w:bookmarkStart w:id="71" w:name="_Toc325536768"/>
            <w:bookmarkStart w:id="72" w:name="_Toc352957215"/>
            <w:bookmarkStart w:id="73" w:name="_Toc392670581"/>
            <w:r w:rsidRPr="00804356">
              <w:rPr>
                <w:b/>
                <w:sz w:val="20"/>
                <w:szCs w:val="20"/>
              </w:rPr>
              <w:t>4</w:t>
            </w:r>
            <w:r w:rsidR="00AD1601" w:rsidRPr="00804356">
              <w:rPr>
                <w:b/>
                <w:sz w:val="20"/>
                <w:szCs w:val="20"/>
              </w:rPr>
              <w:t>.3.20 Метрологическое обеспечение</w:t>
            </w:r>
            <w:bookmarkEnd w:id="69"/>
            <w:bookmarkEnd w:id="70"/>
            <w:bookmarkEnd w:id="71"/>
            <w:bookmarkEnd w:id="72"/>
            <w:bookmarkEnd w:id="73"/>
            <w:r w:rsidR="00AD1601" w:rsidRPr="00804356">
              <w:rPr>
                <w:b/>
                <w:sz w:val="20"/>
                <w:szCs w:val="20"/>
              </w:rPr>
              <w:t>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Метрологические характеристики измерительных каналов должны обеспечивать достижение необходимой точности и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мерения, установленной в регламенте ведения технологического процесса.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Применяемые приборы учеты должны соответствовать требованиям</w:t>
            </w:r>
            <w:bookmarkStart w:id="74" w:name="_GoBack"/>
            <w:bookmarkEnd w:id="74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к протоколам передачи данных, устанавливаемых СПОДЭС согласно ГОСТ </w:t>
            </w:r>
            <w:proofErr w:type="gramStart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58940-2020 «Требования к протоколам обмена информацией между компонентами интелле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>туальной системы учета и приборами учета».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601">
              <w:rPr>
                <w:rFonts w:ascii="Times New Roman" w:hAnsi="Times New Roman" w:cs="Times New Roman"/>
                <w:b/>
                <w:sz w:val="20"/>
                <w:szCs w:val="20"/>
              </w:rPr>
              <w:t>5.3.21</w:t>
            </w:r>
            <w:r w:rsidRPr="00AD1601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Pr="00AD1601">
              <w:rPr>
                <w:rFonts w:ascii="Times New Roman" w:hAnsi="Times New Roman" w:cs="Times New Roman"/>
                <w:b/>
                <w:sz w:val="20"/>
                <w:szCs w:val="20"/>
              </w:rPr>
              <w:t>ребования к применяемым измерительным комплексам, присоединяющимся к АИИСКУЭ,  согласно П</w:t>
            </w:r>
            <w:r w:rsidRPr="00AD1601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D1601">
              <w:rPr>
                <w:rFonts w:ascii="Times New Roman" w:hAnsi="Times New Roman" w:cs="Times New Roman"/>
                <w:b/>
                <w:sz w:val="20"/>
                <w:szCs w:val="20"/>
              </w:rPr>
              <w:t>становлению № 890.</w:t>
            </w:r>
          </w:p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Style w:val="a5"/>
              <w:tblW w:w="10768" w:type="dxa"/>
              <w:tblLayout w:type="fixed"/>
              <w:tblLook w:val="04A0"/>
            </w:tblPr>
            <w:tblGrid>
              <w:gridCol w:w="1555"/>
              <w:gridCol w:w="141"/>
              <w:gridCol w:w="8931"/>
              <w:gridCol w:w="141"/>
            </w:tblGrid>
            <w:tr w:rsidR="00AD1601" w:rsidRPr="00AD1601" w:rsidTr="00804356">
              <w:trPr>
                <w:gridAfter w:val="1"/>
                <w:wAfter w:w="141" w:type="dxa"/>
              </w:trPr>
              <w:tc>
                <w:tcPr>
                  <w:tcW w:w="1555" w:type="dxa"/>
                </w:tcPr>
                <w:p w:rsidR="00AD1601" w:rsidRPr="00AD1601" w:rsidRDefault="00AD1601" w:rsidP="00AD1601">
                  <w:pPr>
                    <w:ind w:right="177"/>
                    <w:jc w:val="both"/>
                  </w:pPr>
                  <w:r w:rsidRPr="00AD1601">
                    <w:t>Функци</w:t>
                  </w:r>
                  <w:r w:rsidRPr="00AD1601">
                    <w:t>о</w:t>
                  </w:r>
                  <w:r w:rsidRPr="00AD1601">
                    <w:t>нальные тр</w:t>
                  </w:r>
                  <w:r w:rsidRPr="00AD1601">
                    <w:t>е</w:t>
                  </w:r>
                  <w:r w:rsidRPr="00AD1601">
                    <w:t>бов</w:t>
                  </w:r>
                  <w:r w:rsidRPr="00AD1601">
                    <w:t>а</w:t>
                  </w:r>
                  <w:r w:rsidRPr="00AD1601">
                    <w:t>ния к ПУ</w:t>
                  </w:r>
                </w:p>
              </w:tc>
              <w:tc>
                <w:tcPr>
                  <w:tcW w:w="9072" w:type="dxa"/>
                  <w:gridSpan w:val="2"/>
                </w:tcPr>
                <w:p w:rsidR="00AD1601" w:rsidRPr="00AD1601" w:rsidRDefault="00AD1601" w:rsidP="00AD1601">
                  <w:pPr>
                    <w:ind w:right="177"/>
                    <w:jc w:val="both"/>
                  </w:pPr>
                  <w:r w:rsidRPr="00AD1601">
                    <w:t>1. ПУ должны иметь:</w:t>
                  </w:r>
                </w:p>
                <w:p w:rsidR="00AD1601" w:rsidRPr="00AD1601" w:rsidRDefault="00AD1601" w:rsidP="00AD1601">
                  <w:pPr>
                    <w:ind w:right="177"/>
                    <w:jc w:val="both"/>
                  </w:pPr>
                  <w:r w:rsidRPr="00AD1601">
                    <w:t>а) функции и характеристики в полном объеме соответствующие требованиям ПП №890;</w:t>
                  </w:r>
                </w:p>
                <w:p w:rsidR="00AD1601" w:rsidRPr="00AD1601" w:rsidRDefault="00AD1601" w:rsidP="00AD1601">
                  <w:pPr>
                    <w:ind w:right="177"/>
                    <w:jc w:val="both"/>
                  </w:pPr>
                  <w:r w:rsidRPr="00AD1601">
                    <w:t>б) ежесуточное тестирование памяти;</w:t>
                  </w:r>
                </w:p>
                <w:p w:rsidR="00AD1601" w:rsidRPr="00AD1601" w:rsidRDefault="00AD1601" w:rsidP="00AD1601">
                  <w:pPr>
                    <w:ind w:right="177"/>
                    <w:jc w:val="both"/>
                  </w:pPr>
                  <w:r w:rsidRPr="00AD1601">
                    <w:t xml:space="preserve">в) </w:t>
                  </w:r>
                  <w:proofErr w:type="gramStart"/>
                  <w:r w:rsidRPr="00AD1601">
                    <w:t>для</w:t>
                  </w:r>
                  <w:proofErr w:type="gramEnd"/>
                  <w:r w:rsidRPr="00AD1601">
                    <w:t xml:space="preserve"> </w:t>
                  </w:r>
                  <w:proofErr w:type="gramStart"/>
                  <w:r w:rsidRPr="00AD1601">
                    <w:t>однофазных</w:t>
                  </w:r>
                  <w:proofErr w:type="gramEnd"/>
                  <w:r w:rsidRPr="00AD1601">
                    <w:t xml:space="preserve"> ПУ измерительные блоки должны иметь две цепи тока;</w:t>
                  </w:r>
                </w:p>
                <w:p w:rsidR="00AD1601" w:rsidRPr="00AD1601" w:rsidRDefault="00AD1601" w:rsidP="00AD1601">
                  <w:pPr>
                    <w:ind w:right="177"/>
                    <w:jc w:val="both"/>
                  </w:pPr>
                  <w:r w:rsidRPr="00AD1601">
                    <w:t>г) возможность выступать в качестве инициатора связи с уровнем ИВКЭ или ИВК ВУ;</w:t>
                  </w:r>
                </w:p>
                <w:p w:rsidR="00AD1601" w:rsidRPr="00AD1601" w:rsidRDefault="00AD1601" w:rsidP="00AD1601">
                  <w:pPr>
                    <w:ind w:right="177"/>
                    <w:jc w:val="both"/>
                  </w:pPr>
                  <w:proofErr w:type="spellStart"/>
                  <w:r w:rsidRPr="00AD1601">
                    <w:t>д</w:t>
                  </w:r>
                  <w:proofErr w:type="spellEnd"/>
                  <w:r w:rsidRPr="00AD1601">
                    <w:t>) контроль чередования фаз;</w:t>
                  </w:r>
                </w:p>
                <w:p w:rsidR="00AD1601" w:rsidRPr="00AD1601" w:rsidRDefault="00AD1601" w:rsidP="00AD1601">
                  <w:pPr>
                    <w:ind w:right="177"/>
                    <w:jc w:val="both"/>
                  </w:pPr>
                  <w:r w:rsidRPr="00AD1601">
                    <w:t>е) обеспечение сохранения интервального профиля (профиля нагрузки) 60 мин –  не менее 180 с</w:t>
                  </w:r>
                  <w:r w:rsidRPr="00AD1601">
                    <w:t>у</w:t>
                  </w:r>
                  <w:r w:rsidRPr="00AD1601">
                    <w:t>ток, 30 мин – не менее 90 суток, 15 мин – не менее 45 суток с циклической перезаписью, нач</w:t>
                  </w:r>
                  <w:r w:rsidRPr="00AD1601">
                    <w:t>и</w:t>
                  </w:r>
                  <w:r w:rsidRPr="00AD1601">
                    <w:t>ная с самого раннего значения;</w:t>
                  </w:r>
                </w:p>
                <w:p w:rsidR="00AD1601" w:rsidRPr="00AD1601" w:rsidRDefault="00AD1601" w:rsidP="00AD1601">
                  <w:pPr>
                    <w:ind w:right="177"/>
                    <w:jc w:val="both"/>
                  </w:pPr>
                  <w:r w:rsidRPr="00AD1601">
                    <w:t>ё) длительность сохранения в памяти информации (измерительных данных, параметров настро</w:t>
                  </w:r>
                  <w:r w:rsidRPr="00AD1601">
                    <w:t>й</w:t>
                  </w:r>
                  <w:r w:rsidRPr="00AD1601">
                    <w:t>ки, программ) при отключенном питании не менее 3 лет;</w:t>
                  </w:r>
                </w:p>
                <w:p w:rsidR="00AD1601" w:rsidRPr="00AD1601" w:rsidRDefault="00AD1601" w:rsidP="00AD1601">
                  <w:pPr>
                    <w:ind w:right="177"/>
                    <w:jc w:val="both"/>
                  </w:pPr>
                  <w:r w:rsidRPr="00AD1601">
                    <w:t xml:space="preserve">ж) наличие двух независимых беспроводных </w:t>
                  </w:r>
                  <w:proofErr w:type="spellStart"/>
                  <w:r w:rsidRPr="00AD1601">
                    <w:t>равноприоритетных</w:t>
                  </w:r>
                  <w:proofErr w:type="spellEnd"/>
                  <w:r w:rsidRPr="00AD1601">
                    <w:t xml:space="preserve"> интерфейсов связи (включая PLC) с различной средой или технологией передачи в соответствии с Приложением 1 для организации кан</w:t>
                  </w:r>
                  <w:r w:rsidRPr="00AD1601">
                    <w:t>а</w:t>
                  </w:r>
                  <w:r w:rsidRPr="00AD1601">
                    <w:t>лов связи с уровнем ИВКЭ;</w:t>
                  </w:r>
                </w:p>
                <w:p w:rsidR="00AD1601" w:rsidRPr="00AD1601" w:rsidRDefault="00AD1601" w:rsidP="00AD1601">
                  <w:pPr>
                    <w:ind w:right="177"/>
                    <w:jc w:val="both"/>
                  </w:pPr>
                  <w:proofErr w:type="spellStart"/>
                  <w:r w:rsidRPr="00AD1601">
                    <w:t>з</w:t>
                  </w:r>
                  <w:proofErr w:type="spellEnd"/>
                  <w:r w:rsidRPr="00AD1601">
                    <w:t>) исполнение со встроенными интерфейсами и модемами передачи данных;</w:t>
                  </w:r>
                </w:p>
                <w:p w:rsidR="00AD1601" w:rsidRPr="00AD1601" w:rsidRDefault="00AD1601" w:rsidP="00AD1601">
                  <w:pPr>
                    <w:ind w:right="177"/>
                    <w:jc w:val="both"/>
                  </w:pPr>
                  <w:r w:rsidRPr="00AD1601">
                    <w:t xml:space="preserve">и) поддержку протокола обмена данными в соответствии со спецификацией СПОДЭС (ГОСТ </w:t>
                  </w:r>
                  <w:proofErr w:type="gramStart"/>
                  <w:r w:rsidRPr="00AD1601">
                    <w:t>Р</w:t>
                  </w:r>
                  <w:proofErr w:type="gramEnd"/>
                  <w:r w:rsidRPr="00AD1601">
                    <w:t xml:space="preserve"> 58940-2020)</w:t>
                  </w:r>
                </w:p>
                <w:p w:rsidR="00AD1601" w:rsidRPr="00AD1601" w:rsidRDefault="00AD1601" w:rsidP="00AD1601">
                  <w:pPr>
                    <w:ind w:right="177"/>
                    <w:jc w:val="both"/>
                  </w:pPr>
                  <w:r w:rsidRPr="00AD1601">
                    <w:t>2. ПУ не должны нуждаться в дополнительном электропитании для выполнения всех своих фун</w:t>
                  </w:r>
                  <w:r w:rsidRPr="00AD1601">
                    <w:t>к</w:t>
                  </w:r>
                  <w:r w:rsidRPr="00AD1601">
                    <w:t>ций, в том числе, и для встроенных модулей передачи данных и цифровых интерфейсов.</w:t>
                  </w:r>
                </w:p>
                <w:p w:rsidR="00AD1601" w:rsidRPr="00AD1601" w:rsidRDefault="00AD1601" w:rsidP="00AD1601">
                  <w:pPr>
                    <w:ind w:right="177"/>
                    <w:jc w:val="both"/>
                  </w:pPr>
                  <w:r w:rsidRPr="00AD1601">
                    <w:t xml:space="preserve">3. Все ПУ должны сопровождаться </w:t>
                  </w:r>
                  <w:proofErr w:type="gramStart"/>
                  <w:r w:rsidRPr="00AD1601">
                    <w:t>бесплатным</w:t>
                  </w:r>
                  <w:proofErr w:type="gramEnd"/>
                  <w:r w:rsidRPr="00AD1601">
                    <w:t xml:space="preserve"> технологическим ПО для конфигурирования, пр</w:t>
                  </w:r>
                  <w:r w:rsidRPr="00AD1601">
                    <w:t>о</w:t>
                  </w:r>
                  <w:r w:rsidRPr="00AD1601">
                    <w:t>смотра данных и возможности дистанционного перепрограммирования ПУ.</w:t>
                  </w:r>
                </w:p>
                <w:p w:rsidR="00AD1601" w:rsidRPr="00AD1601" w:rsidRDefault="00AD1601" w:rsidP="00AD1601">
                  <w:pPr>
                    <w:ind w:right="177"/>
                    <w:jc w:val="both"/>
                  </w:pPr>
                  <w:r w:rsidRPr="00AD1601">
                    <w:t>4. Для ПУ должно быть реализовано разграничение по уровням доступа. Пароль на чтение – о</w:t>
                  </w:r>
                  <w:r w:rsidRPr="00AD1601">
                    <w:t>б</w:t>
                  </w:r>
                  <w:r w:rsidRPr="00AD1601">
                    <w:t>щий для всех ПУ, пароль перепрограммирования ПУ – уникальный для каждого ПУ. Реестр с паролями должен передаваться Заказчику в электронной форме при поставке ПУ.</w:t>
                  </w:r>
                </w:p>
                <w:p w:rsidR="00AD1601" w:rsidRPr="00AD1601" w:rsidRDefault="00AD1601" w:rsidP="00AD1601">
                  <w:pPr>
                    <w:ind w:right="177"/>
                    <w:jc w:val="both"/>
                  </w:pPr>
                  <w:r w:rsidRPr="00AD1601">
                    <w:t>6. В результате монтажа Заказчиком ПУ на объекте, подачи питания, ПУ должны (без дополнител</w:t>
                  </w:r>
                  <w:r w:rsidRPr="00AD1601">
                    <w:t>ь</w:t>
                  </w:r>
                  <w:r w:rsidRPr="00AD1601">
                    <w:t>ных физических и программных манипуляций с ПУ) принять по TCP/IP входящее подключение с ИВК ВУ Заказчика, передавать запрашиваемые сервером результаты измерений ПУ, с</w:t>
                  </w:r>
                  <w:r w:rsidRPr="00AD1601">
                    <w:t>о</w:t>
                  </w:r>
                  <w:r w:rsidRPr="00AD1601">
                    <w:t xml:space="preserve">бытия ПУ, а также позволять производить управляющее воздействие на ПУ.  </w:t>
                  </w:r>
                </w:p>
                <w:p w:rsidR="00AD1601" w:rsidRPr="00AD1601" w:rsidRDefault="00AD1601" w:rsidP="00AD1601">
                  <w:pPr>
                    <w:ind w:right="177"/>
                    <w:jc w:val="both"/>
                  </w:pPr>
                  <w:r w:rsidRPr="00AD1601">
                    <w:t xml:space="preserve">7. Данные для </w:t>
                  </w:r>
                  <w:proofErr w:type="spellStart"/>
                  <w:r w:rsidRPr="00AD1601">
                    <w:t>параметрирования</w:t>
                  </w:r>
                  <w:proofErr w:type="spellEnd"/>
                  <w:r w:rsidRPr="00AD1601">
                    <w:t xml:space="preserve"> и конфигурирования ПУ (часовой пояс, тарифное расписание, APN и др.)  предоставляется Участнику, победившему в открытом запросе предложений на поставку об</w:t>
                  </w:r>
                  <w:r w:rsidRPr="00AD1601">
                    <w:t>о</w:t>
                  </w:r>
                  <w:r w:rsidRPr="00AD1601">
                    <w:t xml:space="preserve">рудования для выполнения работ в рамках исполнения </w:t>
                  </w:r>
                  <w:proofErr w:type="gramStart"/>
                  <w:r w:rsidRPr="00AD1601">
                    <w:t>требований, введенных 522-ФЗ от 27.12.2018 в электронном виде и прикладываются</w:t>
                  </w:r>
                  <w:proofErr w:type="gramEnd"/>
                  <w:r w:rsidRPr="00AD1601">
                    <w:t xml:space="preserve"> к спецификации по Договору.</w:t>
                  </w:r>
                </w:p>
                <w:p w:rsidR="00AD1601" w:rsidRPr="00AD1601" w:rsidRDefault="00AD1601" w:rsidP="00AD1601">
                  <w:pPr>
                    <w:ind w:right="177"/>
                    <w:jc w:val="both"/>
                  </w:pPr>
                  <w:r w:rsidRPr="00AD1601">
                    <w:t xml:space="preserve">8. </w:t>
                  </w:r>
                  <w:proofErr w:type="spellStart"/>
                  <w:r w:rsidRPr="00AD1601">
                    <w:t>Клеммная</w:t>
                  </w:r>
                  <w:proofErr w:type="spellEnd"/>
                  <w:r w:rsidRPr="00AD1601">
                    <w:t xml:space="preserve"> крышка ПУ должна крепиться не менее чем на 2 винта.</w:t>
                  </w:r>
                </w:p>
                <w:p w:rsidR="00AD1601" w:rsidRPr="00AD1601" w:rsidRDefault="00AD1601" w:rsidP="00AD1601">
                  <w:pPr>
                    <w:ind w:right="177"/>
                    <w:jc w:val="both"/>
                  </w:pPr>
                  <w:r w:rsidRPr="00AD1601">
                    <w:t xml:space="preserve">9. Установка и замена батареи питания ПУ должна производиться без вскрытия корпуса ПУ, </w:t>
                  </w:r>
                  <w:proofErr w:type="spellStart"/>
                  <w:r w:rsidRPr="00AD1601">
                    <w:t>клем</w:t>
                  </w:r>
                  <w:r w:rsidRPr="00AD1601">
                    <w:t>м</w:t>
                  </w:r>
                  <w:r w:rsidRPr="00AD1601">
                    <w:t>ной</w:t>
                  </w:r>
                  <w:proofErr w:type="spellEnd"/>
                  <w:r w:rsidRPr="00AD1601">
                    <w:t xml:space="preserve"> крышки и без применения пайки. Батарейный отсек должен находиться под отдельной крышкой с возможностью ее пломбировки. Тип батареи питания должен быть из стандартного ряда.</w:t>
                  </w:r>
                </w:p>
                <w:p w:rsidR="00AD1601" w:rsidRPr="00AD1601" w:rsidRDefault="00AD1601" w:rsidP="00AD1601">
                  <w:pPr>
                    <w:ind w:right="177"/>
                    <w:jc w:val="both"/>
                  </w:pPr>
                </w:p>
              </w:tc>
            </w:tr>
            <w:tr w:rsidR="00AD1601" w:rsidRPr="00AD1601" w:rsidTr="00804356">
              <w:tc>
                <w:tcPr>
                  <w:tcW w:w="1696" w:type="dxa"/>
                  <w:gridSpan w:val="2"/>
                </w:tcPr>
                <w:p w:rsidR="00AD1601" w:rsidRPr="00AD1601" w:rsidRDefault="00AD1601" w:rsidP="00AD1601">
                  <w:pPr>
                    <w:ind w:right="177"/>
                    <w:jc w:val="both"/>
                  </w:pPr>
                  <w:r w:rsidRPr="00AD1601">
                    <w:lastRenderedPageBreak/>
                    <w:t>Функционал</w:t>
                  </w:r>
                  <w:r w:rsidRPr="00AD1601">
                    <w:t>ь</w:t>
                  </w:r>
                  <w:r w:rsidRPr="00AD1601">
                    <w:t>ные требов</w:t>
                  </w:r>
                  <w:r w:rsidRPr="00AD1601">
                    <w:t>а</w:t>
                  </w:r>
                  <w:r w:rsidRPr="00AD1601">
                    <w:t>ния к УСПД/</w:t>
                  </w:r>
                </w:p>
                <w:p w:rsidR="00AD1601" w:rsidRPr="00AD1601" w:rsidRDefault="00AD1601" w:rsidP="00AD1601">
                  <w:pPr>
                    <w:ind w:right="177"/>
                    <w:jc w:val="both"/>
                  </w:pPr>
                  <w:r w:rsidRPr="00AD1601">
                    <w:t>коммуникат</w:t>
                  </w:r>
                  <w:r w:rsidRPr="00AD1601">
                    <w:t>о</w:t>
                  </w:r>
                  <w:r w:rsidRPr="00AD1601">
                    <w:t>рам</w:t>
                  </w:r>
                </w:p>
              </w:tc>
              <w:tc>
                <w:tcPr>
                  <w:tcW w:w="9072" w:type="dxa"/>
                  <w:gridSpan w:val="2"/>
                </w:tcPr>
                <w:p w:rsidR="00AD1601" w:rsidRPr="00AD1601" w:rsidRDefault="00AD1601" w:rsidP="00AD1601">
                  <w:pPr>
                    <w:ind w:right="177"/>
                    <w:jc w:val="both"/>
                  </w:pPr>
                  <w:r w:rsidRPr="00AD1601">
                    <w:t>1. УСПД/коммуникаторы должны иметь:</w:t>
                  </w:r>
                </w:p>
                <w:p w:rsidR="00AD1601" w:rsidRPr="00AD1601" w:rsidRDefault="00AD1601" w:rsidP="00AD1601">
                  <w:pPr>
                    <w:ind w:right="177"/>
                    <w:jc w:val="both"/>
                  </w:pPr>
                  <w:r w:rsidRPr="00AD1601">
                    <w:t xml:space="preserve">а) пломбы с клеймом </w:t>
                  </w:r>
                  <w:proofErr w:type="spellStart"/>
                  <w:r w:rsidRPr="00AD1601">
                    <w:t>госповерителя</w:t>
                  </w:r>
                  <w:proofErr w:type="spellEnd"/>
                  <w:r w:rsidRPr="00AD1601">
                    <w:t xml:space="preserve"> и завода изготовителя;</w:t>
                  </w:r>
                </w:p>
                <w:p w:rsidR="00AD1601" w:rsidRPr="00AD1601" w:rsidRDefault="00AD1601" w:rsidP="00AD1601">
                  <w:pPr>
                    <w:ind w:right="177"/>
                    <w:jc w:val="both"/>
                  </w:pPr>
                  <w:r w:rsidRPr="00AD1601">
                    <w:t xml:space="preserve">б) возможность передачи информации от ПУ по не менее двум независимым беспроводным </w:t>
                  </w:r>
                  <w:proofErr w:type="spellStart"/>
                  <w:r w:rsidRPr="00AD1601">
                    <w:t>равн</w:t>
                  </w:r>
                  <w:r w:rsidRPr="00AD1601">
                    <w:t>о</w:t>
                  </w:r>
                  <w:r w:rsidRPr="00AD1601">
                    <w:t>приоритетным</w:t>
                  </w:r>
                  <w:proofErr w:type="spellEnd"/>
                  <w:r w:rsidRPr="00AD1601">
                    <w:t xml:space="preserve"> интерфейсам связи с различной средой или технологией передачи </w:t>
                  </w:r>
                </w:p>
                <w:p w:rsidR="00AD1601" w:rsidRPr="00AD1601" w:rsidRDefault="00AD1601" w:rsidP="00AD1601">
                  <w:pPr>
                    <w:ind w:right="177"/>
                    <w:jc w:val="both"/>
                  </w:pPr>
                  <w:r w:rsidRPr="00AD1601">
                    <w:t>в) обеспечение двустороннего информационного обмена с ИВК ВУ и ПУ с передачей результ</w:t>
                  </w:r>
                  <w:r w:rsidRPr="00AD1601">
                    <w:t>а</w:t>
                  </w:r>
                  <w:r w:rsidRPr="00AD1601">
                    <w:t>тов измерений, обобщенных сигналов неисправности технических средств, диагностической информ</w:t>
                  </w:r>
                  <w:r w:rsidRPr="00AD1601">
                    <w:t>а</w:t>
                  </w:r>
                  <w:r w:rsidRPr="00AD1601">
                    <w:t xml:space="preserve">ции и т.п. по протоколам в соответствии с ГОСТ </w:t>
                  </w:r>
                  <w:proofErr w:type="gramStart"/>
                  <w:r w:rsidRPr="00AD1601">
                    <w:t>Р</w:t>
                  </w:r>
                  <w:proofErr w:type="gramEnd"/>
                  <w:r w:rsidRPr="00AD1601">
                    <w:t xml:space="preserve"> 58940-2020;</w:t>
                  </w:r>
                </w:p>
                <w:p w:rsidR="00AD1601" w:rsidRPr="00AD1601" w:rsidRDefault="00AD1601" w:rsidP="00AD1601">
                  <w:pPr>
                    <w:ind w:right="177"/>
                    <w:jc w:val="both"/>
                  </w:pPr>
                  <w:r w:rsidRPr="00AD1601">
                    <w:t>г) автоматическое обнаружение ПУ в сетях передачи данных;</w:t>
                  </w:r>
                </w:p>
                <w:p w:rsidR="00AD1601" w:rsidRPr="00AD1601" w:rsidRDefault="00AD1601" w:rsidP="00AD1601">
                  <w:pPr>
                    <w:ind w:right="177"/>
                    <w:jc w:val="both"/>
                  </w:pPr>
                  <w:r w:rsidRPr="00AD1601">
                    <w:t>е) прямой доступ к ПУ в режиме «прозрачного» канала (в том числе для удаленного изменения ко</w:t>
                  </w:r>
                  <w:r w:rsidRPr="00AD1601">
                    <w:t>н</w:t>
                  </w:r>
                  <w:r w:rsidRPr="00AD1601">
                    <w:t>фигурации);</w:t>
                  </w:r>
                </w:p>
                <w:p w:rsidR="00AD1601" w:rsidRPr="00AD1601" w:rsidRDefault="00AD1601" w:rsidP="00AD1601">
                  <w:pPr>
                    <w:ind w:right="177"/>
                    <w:jc w:val="both"/>
                  </w:pPr>
                  <w:r w:rsidRPr="00AD1601">
                    <w:t>ё) независимые циклы опроса с настраиваемым периодом опроса ПУ, подключенных к разли</w:t>
                  </w:r>
                  <w:r w:rsidRPr="00AD1601">
                    <w:t>ч</w:t>
                  </w:r>
                  <w:r w:rsidRPr="00AD1601">
                    <w:t>ным интерфейсам, возможность настройки приоритетов собираемых данных (данные с низким приорит</w:t>
                  </w:r>
                  <w:r w:rsidRPr="00AD1601">
                    <w:t>е</w:t>
                  </w:r>
                  <w:r w:rsidRPr="00AD1601">
                    <w:t>том собираются только после получения высокоприоритетных данных со всех подключенных ус</w:t>
                  </w:r>
                  <w:r w:rsidRPr="00AD1601">
                    <w:t>т</w:t>
                  </w:r>
                  <w:r w:rsidRPr="00AD1601">
                    <w:t>ройств);</w:t>
                  </w:r>
                </w:p>
                <w:p w:rsidR="00AD1601" w:rsidRPr="00AD1601" w:rsidRDefault="00AD1601" w:rsidP="00AD1601">
                  <w:pPr>
                    <w:ind w:right="177"/>
                    <w:jc w:val="both"/>
                  </w:pPr>
                  <w:r w:rsidRPr="00AD1601">
                    <w:t>ж) энергонезависимое ведение системного времени и синхронизацию системного времени как сам</w:t>
                  </w:r>
                  <w:r w:rsidRPr="00AD1601">
                    <w:t>о</w:t>
                  </w:r>
                  <w:r w:rsidRPr="00AD1601">
                    <w:t xml:space="preserve">го устройства, так и подключаемых ПУ от внешних источников точного времени (NTP-серверов, устройств GPS/ГЛОНАСС) и/или от серверов ИВК ВУ по протоколам в соответствии с ГОСТ </w:t>
                  </w:r>
                  <w:proofErr w:type="gramStart"/>
                  <w:r w:rsidRPr="00AD1601">
                    <w:t>Р</w:t>
                  </w:r>
                  <w:proofErr w:type="gramEnd"/>
                  <w:r w:rsidRPr="00AD1601">
                    <w:t xml:space="preserve"> 58940-2020, ГОСТ Р МЭК 60870-5-101-2006, ГОСТ Р МЭК 60870-5-104-2004 с интерв</w:t>
                  </w:r>
                  <w:r w:rsidRPr="00AD1601">
                    <w:t>а</w:t>
                  </w:r>
                  <w:r w:rsidRPr="00AD1601">
                    <w:t>лом не реже 1 раза в час;</w:t>
                  </w:r>
                </w:p>
                <w:p w:rsidR="00AD1601" w:rsidRPr="00AD1601" w:rsidRDefault="00AD1601" w:rsidP="00AD1601">
                  <w:pPr>
                    <w:ind w:right="177"/>
                    <w:jc w:val="both"/>
                  </w:pPr>
                  <w:proofErr w:type="spellStart"/>
                  <w:r w:rsidRPr="00AD1601">
                    <w:t>з</w:t>
                  </w:r>
                  <w:proofErr w:type="spellEnd"/>
                  <w:r w:rsidRPr="00AD1601">
                    <w:t>) возможность задания запрета корректировки времени ПУ;</w:t>
                  </w:r>
                </w:p>
                <w:p w:rsidR="00AD1601" w:rsidRPr="00AD1601" w:rsidRDefault="00AD1601" w:rsidP="00AD1601">
                  <w:pPr>
                    <w:ind w:right="177"/>
                    <w:jc w:val="both"/>
                  </w:pPr>
                  <w:r w:rsidRPr="00AD1601">
                    <w:t>и) возможность конфигурирования (</w:t>
                  </w:r>
                  <w:proofErr w:type="spellStart"/>
                  <w:r w:rsidRPr="00AD1601">
                    <w:t>параметрирования</w:t>
                  </w:r>
                  <w:proofErr w:type="spellEnd"/>
                  <w:r w:rsidRPr="00AD1601">
                    <w:t>) с помощью прикладного программного обеспечения дистанционно и локально;</w:t>
                  </w:r>
                </w:p>
                <w:p w:rsidR="00AD1601" w:rsidRPr="00AD1601" w:rsidRDefault="00AD1601" w:rsidP="00AD1601">
                  <w:pPr>
                    <w:ind w:right="177"/>
                    <w:jc w:val="both"/>
                  </w:pPr>
                  <w:proofErr w:type="spellStart"/>
                  <w:r w:rsidRPr="00AD1601">
                    <w:t>й</w:t>
                  </w:r>
                  <w:proofErr w:type="spellEnd"/>
                  <w:r w:rsidRPr="00AD1601">
                    <w:t>) защиту от несанкционированного доступа, как аппаратными, так и программными средствами с регистрацией событий информационной безопасности;</w:t>
                  </w:r>
                </w:p>
                <w:p w:rsidR="00AD1601" w:rsidRPr="00AD1601" w:rsidRDefault="00AD1601" w:rsidP="00AD1601">
                  <w:pPr>
                    <w:ind w:right="177"/>
                    <w:jc w:val="both"/>
                  </w:pPr>
                  <w:r w:rsidRPr="00AD1601">
                    <w:t>к) обеспечение передачи на ПУ команд на ограничения предельной мощности нагрузки потребит</w:t>
                  </w:r>
                  <w:r w:rsidRPr="00AD1601">
                    <w:t>е</w:t>
                  </w:r>
                  <w:r w:rsidRPr="00AD1601">
                    <w:t xml:space="preserve">лей и отключения (включения) потребителей; </w:t>
                  </w:r>
                </w:p>
                <w:p w:rsidR="00AD1601" w:rsidRPr="00AD1601" w:rsidRDefault="00AD1601" w:rsidP="00AD1601">
                  <w:pPr>
                    <w:ind w:right="177"/>
                    <w:jc w:val="both"/>
                  </w:pPr>
                  <w:r w:rsidRPr="00AD1601">
                    <w:t xml:space="preserve">л) возможность передачи состояний от ПУ, в том числе вскрытие </w:t>
                  </w:r>
                  <w:proofErr w:type="spellStart"/>
                  <w:r w:rsidRPr="00AD1601">
                    <w:t>клеммной</w:t>
                  </w:r>
                  <w:proofErr w:type="spellEnd"/>
                  <w:r w:rsidRPr="00AD1601">
                    <w:t xml:space="preserve"> крышки и т.д.;</w:t>
                  </w:r>
                </w:p>
                <w:p w:rsidR="00AD1601" w:rsidRPr="00AD1601" w:rsidRDefault="00AD1601" w:rsidP="00AD1601">
                  <w:pPr>
                    <w:ind w:right="177"/>
                    <w:jc w:val="both"/>
                  </w:pPr>
                  <w:r w:rsidRPr="00AD1601">
                    <w:t>м) соответствие с требованиями ГОСТ 22261-94;</w:t>
                  </w:r>
                </w:p>
                <w:p w:rsidR="00AD1601" w:rsidRPr="00AD1601" w:rsidRDefault="00AD1601" w:rsidP="00AD1601">
                  <w:pPr>
                    <w:ind w:right="177"/>
                    <w:jc w:val="both"/>
                  </w:pPr>
                  <w:proofErr w:type="spellStart"/>
                  <w:r w:rsidRPr="00AD1601">
                    <w:t>н</w:t>
                  </w:r>
                  <w:proofErr w:type="spellEnd"/>
                  <w:r w:rsidRPr="00AD1601">
                    <w:t xml:space="preserve">) соответствие требованиям для оборудования по критериям класса B по ГОСТ </w:t>
                  </w:r>
                  <w:proofErr w:type="gramStart"/>
                  <w:r w:rsidRPr="00AD1601">
                    <w:t>Р</w:t>
                  </w:r>
                  <w:proofErr w:type="gramEnd"/>
                  <w:r w:rsidRPr="00AD1601">
                    <w:t xml:space="preserve"> 51522 в части </w:t>
                  </w:r>
                  <w:proofErr w:type="spellStart"/>
                  <w:r w:rsidRPr="00AD1601">
                    <w:t>п</w:t>
                  </w:r>
                  <w:r w:rsidRPr="00AD1601">
                    <w:t>о</w:t>
                  </w:r>
                  <w:r w:rsidRPr="00AD1601">
                    <w:t>мехоэмиссии</w:t>
                  </w:r>
                  <w:proofErr w:type="spellEnd"/>
                  <w:r w:rsidRPr="00AD1601">
                    <w:t>;</w:t>
                  </w:r>
                </w:p>
                <w:p w:rsidR="00AD1601" w:rsidRPr="00AD1601" w:rsidRDefault="00AD1601" w:rsidP="00AD1601">
                  <w:pPr>
                    <w:ind w:right="177"/>
                    <w:jc w:val="both"/>
                  </w:pPr>
                  <w:r w:rsidRPr="00AD1601">
                    <w:t xml:space="preserve">о) соответствие требованиям для оборудования по критериям класса A по ГОСТ </w:t>
                  </w:r>
                  <w:proofErr w:type="gramStart"/>
                  <w:r w:rsidRPr="00AD1601">
                    <w:t>Р</w:t>
                  </w:r>
                  <w:proofErr w:type="gramEnd"/>
                  <w:r w:rsidRPr="00AD1601">
                    <w:t xml:space="preserve"> 51522 в части п</w:t>
                  </w:r>
                  <w:r w:rsidRPr="00AD1601">
                    <w:t>о</w:t>
                  </w:r>
                  <w:r w:rsidRPr="00AD1601">
                    <w:t>мехоустойчивости;</w:t>
                  </w:r>
                </w:p>
                <w:p w:rsidR="00AD1601" w:rsidRPr="00AD1601" w:rsidRDefault="00AD1601" w:rsidP="00AD1601">
                  <w:pPr>
                    <w:ind w:right="177"/>
                    <w:jc w:val="both"/>
                  </w:pPr>
                  <w:proofErr w:type="spellStart"/>
                  <w:r w:rsidRPr="00AD1601">
                    <w:t>п</w:t>
                  </w:r>
                  <w:proofErr w:type="spellEnd"/>
                  <w:r w:rsidRPr="00AD1601">
                    <w:t xml:space="preserve">) класс II по ГОСТ </w:t>
                  </w:r>
                  <w:proofErr w:type="gramStart"/>
                  <w:r w:rsidRPr="00AD1601">
                    <w:t>Р</w:t>
                  </w:r>
                  <w:proofErr w:type="gramEnd"/>
                  <w:r w:rsidRPr="00AD1601">
                    <w:t xml:space="preserve"> МЭК 536-94 по защите от поражения электрическим током;</w:t>
                  </w:r>
                </w:p>
                <w:p w:rsidR="00AD1601" w:rsidRPr="00AD1601" w:rsidRDefault="00AD1601" w:rsidP="00AD1601">
                  <w:pPr>
                    <w:ind w:right="177"/>
                    <w:jc w:val="both"/>
                  </w:pPr>
                  <w:proofErr w:type="spellStart"/>
                  <w:r w:rsidRPr="00AD1601">
                    <w:t>р</w:t>
                  </w:r>
                  <w:proofErr w:type="spellEnd"/>
                  <w:r w:rsidRPr="00AD1601">
                    <w:t>) степень защиты корпуса не менее IP54 по ГОСТ 14254-2015.</w:t>
                  </w:r>
                </w:p>
                <w:p w:rsidR="00AD1601" w:rsidRPr="00AD1601" w:rsidRDefault="00AD1601" w:rsidP="00AD1601">
                  <w:pPr>
                    <w:ind w:right="177"/>
                    <w:jc w:val="both"/>
                  </w:pPr>
                  <w:r w:rsidRPr="00AD1601">
                    <w:t>3. УСПД/коммуникаторы не должны нуждаться в дополнительном, кроме основного, электропит</w:t>
                  </w:r>
                  <w:r w:rsidRPr="00AD1601">
                    <w:t>а</w:t>
                  </w:r>
                  <w:r w:rsidRPr="00AD1601">
                    <w:t>нии для выполнения всех своих функций, в том числе, и для встроенных модулей передачи данных и ци</w:t>
                  </w:r>
                  <w:r w:rsidRPr="00AD1601">
                    <w:t>ф</w:t>
                  </w:r>
                  <w:r w:rsidRPr="00AD1601">
                    <w:t>ровых интерфейсов.</w:t>
                  </w:r>
                </w:p>
              </w:tc>
            </w:tr>
            <w:tr w:rsidR="00AD1601" w:rsidRPr="00AD1601" w:rsidTr="00804356">
              <w:tc>
                <w:tcPr>
                  <w:tcW w:w="1696" w:type="dxa"/>
                  <w:gridSpan w:val="2"/>
                </w:tcPr>
                <w:p w:rsidR="00AD1601" w:rsidRPr="00AD1601" w:rsidRDefault="00AD1601" w:rsidP="00AD1601">
                  <w:pPr>
                    <w:ind w:right="177"/>
                    <w:jc w:val="both"/>
                  </w:pPr>
                  <w:r w:rsidRPr="00AD1601">
                    <w:t>Требования к трансформ</w:t>
                  </w:r>
                  <w:r w:rsidRPr="00AD1601">
                    <w:t>а</w:t>
                  </w:r>
                  <w:r w:rsidRPr="00AD1601">
                    <w:t>торам тока</w:t>
                  </w:r>
                </w:p>
              </w:tc>
              <w:tc>
                <w:tcPr>
                  <w:tcW w:w="9072" w:type="dxa"/>
                  <w:gridSpan w:val="2"/>
                </w:tcPr>
                <w:p w:rsidR="00AD1601" w:rsidRPr="00AD1601" w:rsidRDefault="00AD1601" w:rsidP="00AD1601">
                  <w:pPr>
                    <w:ind w:right="177"/>
                    <w:jc w:val="both"/>
                  </w:pPr>
                  <w:r w:rsidRPr="00AD1601">
                    <w:t>А) Класс точности – не хуже 0,5S для 10 кВ и 0,2S для 110 кВ.</w:t>
                  </w:r>
                </w:p>
                <w:p w:rsidR="00AD1601" w:rsidRPr="00AD1601" w:rsidRDefault="00AD1601" w:rsidP="00AD1601">
                  <w:pPr>
                    <w:ind w:right="177"/>
                    <w:jc w:val="both"/>
                  </w:pPr>
                  <w:r w:rsidRPr="00AD1601">
                    <w:t>Б) При косвенном включении ПУ необходимо устанавливать трансформаторы тока во всех ф</w:t>
                  </w:r>
                  <w:r w:rsidRPr="00AD1601">
                    <w:t>а</w:t>
                  </w:r>
                  <w:r w:rsidRPr="00AD1601">
                    <w:t>зах.</w:t>
                  </w:r>
                </w:p>
                <w:p w:rsidR="00AD1601" w:rsidRPr="00AD1601" w:rsidRDefault="00AD1601" w:rsidP="00AD1601">
                  <w:pPr>
                    <w:ind w:right="177"/>
                    <w:jc w:val="both"/>
                  </w:pPr>
                  <w:r w:rsidRPr="00AD1601">
                    <w:t>В) Значения номинального вторичного тока должны быть увязаны с номинальными токами приб</w:t>
                  </w:r>
                  <w:r w:rsidRPr="00AD1601">
                    <w:t>о</w:t>
                  </w:r>
                  <w:r w:rsidRPr="00AD1601">
                    <w:t>ров учёта.</w:t>
                  </w:r>
                </w:p>
                <w:p w:rsidR="00AD1601" w:rsidRPr="00AD1601" w:rsidRDefault="00AD1601" w:rsidP="00AD1601">
                  <w:pPr>
                    <w:ind w:right="177"/>
                    <w:jc w:val="both"/>
                  </w:pPr>
                  <w:r w:rsidRPr="00AD1601">
                    <w:t>Г) Выводы вторичной измерительной обмотки трансформаторов тока должны иметь крышки для о</w:t>
                  </w:r>
                  <w:r w:rsidRPr="00AD1601">
                    <w:t>п</w:t>
                  </w:r>
                  <w:r w:rsidRPr="00AD1601">
                    <w:t>ломбировки.</w:t>
                  </w:r>
                </w:p>
                <w:p w:rsidR="00AD1601" w:rsidRPr="00AD1601" w:rsidRDefault="00AD1601" w:rsidP="00AD1601">
                  <w:pPr>
                    <w:ind w:right="177"/>
                    <w:jc w:val="both"/>
                  </w:pPr>
                  <w:r w:rsidRPr="00AD1601">
                    <w:t>Д) Для обеспечения безопасности работ, проводимых в цепях измерительных приборов, ус</w:t>
                  </w:r>
                  <w:r w:rsidRPr="00AD1601">
                    <w:t>т</w:t>
                  </w:r>
                  <w:r w:rsidRPr="00AD1601">
                    <w:t xml:space="preserve">ройств релейной защиты и </w:t>
                  </w:r>
                  <w:proofErr w:type="spellStart"/>
                  <w:r w:rsidRPr="00AD1601">
                    <w:t>электроавтоматики</w:t>
                  </w:r>
                  <w:proofErr w:type="spellEnd"/>
                  <w:r w:rsidRPr="00AD1601">
                    <w:t>, вторичные цепи (обмотки) измерительных тран</w:t>
                  </w:r>
                  <w:r w:rsidRPr="00AD1601">
                    <w:t>с</w:t>
                  </w:r>
                  <w:r w:rsidRPr="00AD1601">
                    <w:t>форматоров тока должны иметь постоянные заземления. (Правила по охране труда при эксплуатации электроу</w:t>
                  </w:r>
                  <w:r w:rsidRPr="00AD1601">
                    <w:t>с</w:t>
                  </w:r>
                  <w:r w:rsidRPr="00AD1601">
                    <w:t>тановок п. 42.1).</w:t>
                  </w:r>
                </w:p>
                <w:p w:rsidR="00AD1601" w:rsidRPr="00AD1601" w:rsidRDefault="00AD1601" w:rsidP="00AD1601">
                  <w:pPr>
                    <w:ind w:right="177"/>
                    <w:jc w:val="both"/>
                  </w:pPr>
                  <w:r w:rsidRPr="00AD1601">
                    <w:t>Е) Заземление во вторичных цепях трансформаторов тока следует предусматривать на зажимах трансформаторов тока.</w:t>
                  </w:r>
                </w:p>
                <w:p w:rsidR="00AD1601" w:rsidRPr="00AD1601" w:rsidRDefault="00AD1601" w:rsidP="00AD1601">
                  <w:pPr>
                    <w:ind w:right="177"/>
                    <w:jc w:val="both"/>
                  </w:pPr>
                  <w:r w:rsidRPr="00AD1601">
                    <w:t>Ж) Выбор места и способа установки должен обеспечивать возможность визуального считыв</w:t>
                  </w:r>
                  <w:r w:rsidRPr="00AD1601">
                    <w:t>а</w:t>
                  </w:r>
                  <w:r w:rsidRPr="00AD1601">
                    <w:t xml:space="preserve">ния с таблички (табличек) </w:t>
                  </w:r>
                  <w:proofErr w:type="gramStart"/>
                  <w:r w:rsidRPr="00AD1601">
                    <w:t>ТТ</w:t>
                  </w:r>
                  <w:proofErr w:type="gramEnd"/>
                  <w:r w:rsidRPr="00AD1601">
                    <w:t xml:space="preserve"> всех данных, указанных в соответствии с ГОСТ 7746–2001, без проведения работ по демонтажу или отключению оборудования (ГОСТ 18620-86 п.3.2).</w:t>
                  </w:r>
                </w:p>
              </w:tc>
            </w:tr>
            <w:tr w:rsidR="00AD1601" w:rsidRPr="00AD1601" w:rsidTr="00804356">
              <w:tc>
                <w:tcPr>
                  <w:tcW w:w="1696" w:type="dxa"/>
                  <w:gridSpan w:val="2"/>
                </w:tcPr>
                <w:p w:rsidR="00AD1601" w:rsidRPr="00AD1601" w:rsidRDefault="00AD1601" w:rsidP="00AD1601">
                  <w:pPr>
                    <w:ind w:right="177"/>
                    <w:jc w:val="both"/>
                  </w:pPr>
                  <w:r w:rsidRPr="00AD1601">
                    <w:t>Требования к трансформ</w:t>
                  </w:r>
                  <w:r w:rsidRPr="00AD1601">
                    <w:t>а</w:t>
                  </w:r>
                  <w:r w:rsidRPr="00AD1601">
                    <w:t>торам напр</w:t>
                  </w:r>
                  <w:r w:rsidRPr="00AD1601">
                    <w:t>я</w:t>
                  </w:r>
                  <w:r w:rsidRPr="00AD1601">
                    <w:t>жения</w:t>
                  </w:r>
                </w:p>
              </w:tc>
              <w:tc>
                <w:tcPr>
                  <w:tcW w:w="9072" w:type="dxa"/>
                  <w:gridSpan w:val="2"/>
                </w:tcPr>
                <w:p w:rsidR="00AD1601" w:rsidRPr="00AD1601" w:rsidRDefault="00AD1601" w:rsidP="00AD1601">
                  <w:pPr>
                    <w:ind w:right="177"/>
                    <w:jc w:val="both"/>
                  </w:pPr>
                  <w:r w:rsidRPr="00AD1601">
                    <w:t>А) Класс точности – не хуже 0,5</w:t>
                  </w:r>
                </w:p>
                <w:p w:rsidR="00AD1601" w:rsidRPr="00AD1601" w:rsidRDefault="00AD1601" w:rsidP="00AD1601">
                  <w:pPr>
                    <w:ind w:right="177"/>
                    <w:jc w:val="both"/>
                  </w:pPr>
                  <w:r w:rsidRPr="00AD1601">
                    <w:t>Б) При трёхфазном вводе применять трёхфазные ТН или группы из трёх однофазных ТН.</w:t>
                  </w:r>
                </w:p>
                <w:p w:rsidR="00AD1601" w:rsidRPr="00AD1601" w:rsidRDefault="00AD1601" w:rsidP="00AD1601">
                  <w:pPr>
                    <w:ind w:right="177"/>
                    <w:jc w:val="both"/>
                  </w:pPr>
                  <w:r w:rsidRPr="00AD1601">
                    <w:t>В) Для обеспечения безопасности работ, проводимых в цепях измерительных приборов, ус</w:t>
                  </w:r>
                  <w:r w:rsidRPr="00AD1601">
                    <w:t>т</w:t>
                  </w:r>
                  <w:r w:rsidRPr="00AD1601">
                    <w:t xml:space="preserve">ройств релейной защиты и </w:t>
                  </w:r>
                  <w:proofErr w:type="spellStart"/>
                  <w:r w:rsidRPr="00AD1601">
                    <w:t>электроавтоматики</w:t>
                  </w:r>
                  <w:proofErr w:type="spellEnd"/>
                  <w:r w:rsidRPr="00AD1601">
                    <w:t>, вторичные цепи (обмотки) измерительных тран</w:t>
                  </w:r>
                  <w:r w:rsidRPr="00AD1601">
                    <w:t>с</w:t>
                  </w:r>
                  <w:r w:rsidRPr="00AD1601">
                    <w:t>форматоров напряжения должны иметь постоянные заземления.</w:t>
                  </w:r>
                </w:p>
                <w:p w:rsidR="00AD1601" w:rsidRPr="00AD1601" w:rsidRDefault="00AD1601" w:rsidP="00AD1601">
                  <w:pPr>
                    <w:ind w:right="177"/>
                    <w:jc w:val="both"/>
                  </w:pPr>
                  <w:r w:rsidRPr="00AD1601">
                    <w:t>Г) Вторичные обмотки трансформатора напряжения должны быть заземлены соединением не</w:t>
                  </w:r>
                  <w:r w:rsidRPr="00AD1601">
                    <w:t>й</w:t>
                  </w:r>
                  <w:r w:rsidRPr="00AD1601">
                    <w:t>тральной точки или одного из концов обмотки с заземляющим устройством. Заземление вторичных обмоток трансформатора напряжения должно быть выполнено, как правило, на ближайшей от трансформатора напряжения сборке зажимов или на зажимах трансформатора напряжения.</w:t>
                  </w:r>
                </w:p>
                <w:p w:rsidR="00AD1601" w:rsidRPr="00AD1601" w:rsidRDefault="00AD1601" w:rsidP="00AD1601">
                  <w:pPr>
                    <w:ind w:right="177"/>
                    <w:jc w:val="both"/>
                  </w:pPr>
                  <w:r w:rsidRPr="00AD1601">
                    <w:t>Д) Выбор места и способа установки должен обеспечивать возможность визуального считывания с таблички (табличек) ТН всех данных, указанных в соответствии с ГОСТ 1983–2001, без пров</w:t>
                  </w:r>
                  <w:r w:rsidRPr="00AD1601">
                    <w:t>е</w:t>
                  </w:r>
                  <w:r w:rsidRPr="00AD1601">
                    <w:t>дения работ по демонтажу или отключению оборудования.</w:t>
                  </w:r>
                </w:p>
              </w:tc>
            </w:tr>
          </w:tbl>
          <w:p w:rsidR="00AD1601" w:rsidRPr="00AD1601" w:rsidRDefault="00AD1601" w:rsidP="00AD1601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601" w:rsidRPr="00AD1601" w:rsidRDefault="00AD1601" w:rsidP="00804356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1601" w:rsidRPr="00AD1601" w:rsidRDefault="00AD1601" w:rsidP="00AD160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1601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tbl>
      <w:tblPr>
        <w:tblW w:w="962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8" w:type="dxa"/>
        </w:tblCellMar>
        <w:tblLook w:val="04A0"/>
      </w:tblPr>
      <w:tblGrid>
        <w:gridCol w:w="9622"/>
      </w:tblGrid>
      <w:tr w:rsidR="00AD1601" w:rsidRPr="00AD1601" w:rsidTr="009B71C3">
        <w:trPr>
          <w:trHeight w:val="60"/>
        </w:trPr>
        <w:tc>
          <w:tcPr>
            <w:tcW w:w="9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601" w:rsidRPr="00AD1601" w:rsidRDefault="00AD1601" w:rsidP="00AD16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1601" w:rsidRPr="00AD1601" w:rsidTr="009B71C3">
        <w:tc>
          <w:tcPr>
            <w:tcW w:w="9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601" w:rsidRPr="00AD1601" w:rsidRDefault="00AD1601" w:rsidP="00AD16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601" w:rsidRPr="00AD1601" w:rsidTr="009B71C3">
        <w:tc>
          <w:tcPr>
            <w:tcW w:w="9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601" w:rsidRPr="00AD1601" w:rsidRDefault="00AD1601" w:rsidP="00AD16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601" w:rsidRPr="00AD1601" w:rsidTr="009B71C3">
        <w:tc>
          <w:tcPr>
            <w:tcW w:w="9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601" w:rsidRPr="00AD1601" w:rsidRDefault="00AD1601" w:rsidP="00AD16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601" w:rsidRPr="00AD1601" w:rsidTr="009B71C3">
        <w:tc>
          <w:tcPr>
            <w:tcW w:w="9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601" w:rsidRPr="00AD1601" w:rsidRDefault="00AD1601" w:rsidP="00AD16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601" w:rsidRPr="00AD1601" w:rsidTr="009B71C3">
        <w:tc>
          <w:tcPr>
            <w:tcW w:w="9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601" w:rsidRPr="00AD1601" w:rsidRDefault="00AD1601" w:rsidP="00AD16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1601" w:rsidRPr="00AD1601" w:rsidRDefault="00AD1601" w:rsidP="00AD1601">
      <w:pPr>
        <w:pStyle w:val="a3"/>
        <w:spacing w:line="240" w:lineRule="auto"/>
        <w:rPr>
          <w:szCs w:val="28"/>
        </w:rPr>
      </w:pPr>
    </w:p>
    <w:p w:rsidR="00950236" w:rsidRPr="00AD1601" w:rsidRDefault="00950236" w:rsidP="00AD1601">
      <w:pPr>
        <w:spacing w:after="0" w:line="240" w:lineRule="auto"/>
        <w:rPr>
          <w:rFonts w:ascii="Times New Roman" w:hAnsi="Times New Roman" w:cs="Times New Roman"/>
        </w:rPr>
      </w:pPr>
    </w:p>
    <w:sectPr w:rsidR="00950236" w:rsidRPr="00AD1601" w:rsidSect="008043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AD1601"/>
    <w:rsid w:val="00804356"/>
    <w:rsid w:val="00950236"/>
    <w:rsid w:val="00AD1601"/>
    <w:rsid w:val="00C10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B9"/>
  </w:style>
  <w:style w:type="paragraph" w:styleId="1">
    <w:name w:val="heading 1"/>
    <w:basedOn w:val="a"/>
    <w:next w:val="a"/>
    <w:link w:val="10"/>
    <w:qFormat/>
    <w:rsid w:val="00AD160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60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AD160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AD1601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39"/>
    <w:rsid w:val="00AD1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4890</Words>
  <Characters>27875</Characters>
  <Application>Microsoft Office Word</Application>
  <DocSecurity>0</DocSecurity>
  <Lines>232</Lines>
  <Paragraphs>65</Paragraphs>
  <ScaleCrop>false</ScaleCrop>
  <Company/>
  <LinksUpToDate>false</LinksUpToDate>
  <CharactersWithSpaces>32700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skvor</dc:creator>
  <cp:keywords/>
  <dc:description/>
  <cp:lastModifiedBy>skvor</cp:lastModifiedBy>
  <cp:revision>5</cp:revision>
  <dcterms:created xsi:type="dcterms:W3CDTF">2023-09-01T04:46:00Z</dcterms:created>
  <dcterms:modified xsi:type="dcterms:W3CDTF">2023-09-01T04:55:00Z</dcterms:modified>
</cp:coreProperties>
</file>